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C94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000000"/>
          <w:sz w:val="36"/>
          <w:szCs w:val="36"/>
        </w:rPr>
      </w:pPr>
      <w:r>
        <w:rPr>
          <w:rFonts w:hint="eastAsia"/>
          <w:color w:val="000000"/>
          <w:sz w:val="36"/>
          <w:szCs w:val="36"/>
          <w:lang w:val="en-US" w:eastAsia="zh-CN"/>
        </w:rPr>
        <w:t>医</w:t>
      </w:r>
      <w:r>
        <w:rPr>
          <w:color w:val="000000"/>
          <w:sz w:val="36"/>
          <w:szCs w:val="36"/>
        </w:rPr>
        <w:t>疗责任保险及公众责任保险项目用户需求书</w:t>
      </w:r>
    </w:p>
    <w:p w14:paraId="5FD00E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一、项目概况</w:t>
      </w:r>
    </w:p>
    <w:p w14:paraId="24EF3E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1. 采购单位：中山大学中山眼科中心海南眼科医院</w:t>
      </w:r>
    </w:p>
    <w:p w14:paraId="0FED41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2. 采购内容：</w:t>
      </w:r>
      <w:r>
        <w:rPr>
          <w:rStyle w:val="7"/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医疗责任保险 + 公众责任保险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服务，保险服务期限 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年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。</w:t>
      </w:r>
      <w:r>
        <w:rPr>
          <w:rFonts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保险服务期限为自签订合同约定的保险期间开始之时起计算一年，或累计责任限额用完为止，以先到的为准。</w:t>
      </w:r>
    </w:p>
    <w:p w14:paraId="60FDCA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3. 资金来源：医院自有资金。 </w:t>
      </w:r>
    </w:p>
    <w:p w14:paraId="4D3CA93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4. 本项目采取院内公开遴选方式确定承保机构，参选保险机构须结合本需求书完整编制保险报价及保险方案。</w:t>
      </w:r>
      <w:bookmarkStart w:id="0" w:name="_GoBack"/>
      <w:bookmarkEnd w:id="0"/>
    </w:p>
    <w:p w14:paraId="775F71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二、投保基础数据（供医责险保费测算使用）</w:t>
      </w:r>
    </w:p>
    <w:p w14:paraId="6C9D17D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医院提供 2025 年度业务统计数据，参选机构可参考以下数据进行医疗责任保险保费测算：1. 床位数：80 张 2. 执业医生数：53 人 3. 护理及技术人员数：106 人 4. 年出院人数：13537 人次 5. 年门诊人数：165745 人次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医责险保费测算参考公式： （床位数 80×____元 + 医生数 53×____元 + 护技数 106×____元 + 年出院人数 13537×____元 + 年门诊人数 165745×0.18 元）×0.8（医院等级系数）×0.75（客户忠诚度调整系数）=____元</w:t>
      </w:r>
    </w:p>
    <w:p w14:paraId="4AD189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三、医疗责任保险核心保障要求</w:t>
      </w:r>
    </w:p>
    <w:p w14:paraId="0A6C4B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一</w:t>
      </w:r>
      <w:r>
        <w:rPr>
          <w:color w:val="000000"/>
          <w:sz w:val="28"/>
          <w:szCs w:val="28"/>
        </w:rPr>
        <w:t>）医疗责任保险赔偿限额（专科医院）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23"/>
        <w:gridCol w:w="2089"/>
      </w:tblGrid>
      <w:tr w14:paraId="55C4E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70E172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90612D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限额标准</w:t>
            </w:r>
          </w:p>
        </w:tc>
      </w:tr>
      <w:tr w14:paraId="7AB53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6AB359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全年累计责任限额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1EB8B5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300 万元</w:t>
            </w:r>
          </w:p>
        </w:tc>
      </w:tr>
      <w:tr w14:paraId="3ABE0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75B38F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每次事故赔偿限额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9EBF54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60 万元</w:t>
            </w:r>
          </w:p>
        </w:tc>
      </w:tr>
      <w:tr w14:paraId="37A8B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7DD8E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每次事故每位患者赔偿限额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717009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30 万元</w:t>
            </w:r>
          </w:p>
        </w:tc>
      </w:tr>
      <w:tr w14:paraId="371A8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1113DF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每位患者外请会诊医师费用赔偿限额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7F7D45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 万元</w:t>
            </w:r>
          </w:p>
        </w:tc>
      </w:tr>
      <w:tr w14:paraId="4DB92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970812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每位患者医疗美容整形诊疗赔偿限额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323050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 万元</w:t>
            </w:r>
          </w:p>
        </w:tc>
      </w:tr>
      <w:tr w14:paraId="022E1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36F45B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法律费用累计限额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21F6A5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8 万元</w:t>
            </w:r>
          </w:p>
        </w:tc>
      </w:tr>
    </w:tbl>
    <w:p w14:paraId="66AA0B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rFonts w:hint="default" w:eastAsia="宋体"/>
          <w:color w:val="000000"/>
          <w:sz w:val="28"/>
          <w:szCs w:val="28"/>
          <w:lang w:val="en-US" w:eastAsia="zh-CN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二</w:t>
      </w:r>
      <w:r>
        <w:rPr>
          <w:color w:val="000000"/>
          <w:sz w:val="28"/>
          <w:szCs w:val="28"/>
        </w:rPr>
        <w:t>）参保人员范围</w:t>
      </w:r>
      <w:r>
        <w:rPr>
          <w:rFonts w:hint="eastAsia"/>
          <w:b w:val="0"/>
          <w:bCs w:val="0"/>
          <w:color w:val="000000"/>
          <w:sz w:val="28"/>
          <w:szCs w:val="28"/>
          <w:highlight w:val="none"/>
          <w:lang w:eastAsia="zh-CN"/>
        </w:rPr>
        <w:t>（</w:t>
      </w:r>
      <w:r>
        <w:rPr>
          <w:rFonts w:hint="eastAsia"/>
          <w:b w:val="0"/>
          <w:bCs w:val="0"/>
          <w:color w:val="000000"/>
          <w:sz w:val="28"/>
          <w:szCs w:val="28"/>
          <w:highlight w:val="none"/>
          <w:lang w:val="en-US" w:eastAsia="zh-CN"/>
        </w:rPr>
        <w:t>参保范围）</w:t>
      </w:r>
    </w:p>
    <w:p w14:paraId="4A961A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保障投保医院，以及本院在岗执业全部医生、护士、医技人员；包含院内正常开展诊疗活动的外请会诊医师（外请会诊医师按上述对应限额执行）。</w:t>
      </w:r>
    </w:p>
    <w:p w14:paraId="5ABDA7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因医疗纠纷所有产生的赔偿费用（按生效法律文书或调解书确定的赔偿款项计算）、医疗欠费（按患者实际发生医疗费用扣减其已交纳医疗费用的余额计算）、以及法律费用（法律费用是指包括但不限于鉴定费、解剖费、鉴定人或专家辅助证人出庭费、勘验费、诉讼费、仲裁受理费、律师代理费、律师和院方工作人员的差旅费，以及代表被保险人参加鉴定、调解、仲裁、庭审、庭询、咨询的人员因参加前述活动而产生的差旅费、专家咨询费、调查费等其他必要的、合理的费用等费用）均为承保范围。</w:t>
      </w:r>
    </w:p>
    <w:p w14:paraId="47F1A3D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（</w:t>
      </w:r>
      <w:r>
        <w:rPr>
          <w:rFonts w:hint="eastAsia"/>
          <w:color w:val="000000"/>
          <w:sz w:val="28"/>
          <w:szCs w:val="28"/>
          <w:lang w:val="en-US" w:eastAsia="zh-CN"/>
        </w:rPr>
        <w:t>三</w:t>
      </w:r>
      <w:r>
        <w:rPr>
          <w:color w:val="000000"/>
          <w:sz w:val="28"/>
          <w:szCs w:val="28"/>
        </w:rPr>
        <w:t>）配套服务要求</w:t>
      </w:r>
    </w:p>
    <w:p w14:paraId="7BB1F7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1. 提供 7×24 小时保险报案受理服务，接到报案后及时响应； 2. 提供医疗纠纷协助调解、专业医疗风险咨询； 3. 定期提供医疗风险防控培训、宣教材料； 4. 及时提供理赔资料指导、协助处理医患纠纷案件； 5. 按时出具理赔进度、案件统计分析报告。</w:t>
      </w:r>
    </w:p>
    <w:p w14:paraId="284DD8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四、公众责任保险（公责险）保障要求</w:t>
      </w:r>
    </w:p>
    <w:p w14:paraId="2677B9AC">
      <w:pPr>
        <w:ind w:firstLine="562" w:firstLineChars="200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ascii="宋体" w:hAnsi="宋体" w:eastAsia="宋体" w:cs="宋体"/>
          <w:b/>
          <w:bCs/>
          <w:sz w:val="28"/>
          <w:szCs w:val="28"/>
        </w:rPr>
        <w:t>（一）赔偿限额配置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89"/>
        <w:gridCol w:w="2423"/>
      </w:tblGrid>
      <w:tr w14:paraId="1CEF2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C5032D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保障项目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82DC9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 w:bidi="ar"/>
              </w:rPr>
              <w:t>赔偿额度</w:t>
            </w:r>
          </w:p>
        </w:tc>
      </w:tr>
      <w:tr w14:paraId="28167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301A12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累计赔偿限额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4AE1B4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500 万元</w:t>
            </w:r>
          </w:p>
        </w:tc>
      </w:tr>
      <w:tr w14:paraId="4AD06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F48EDB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每次事故赔偿限额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DB91D8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250 万元</w:t>
            </w:r>
          </w:p>
        </w:tc>
      </w:tr>
      <w:tr w14:paraId="662C7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789A79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每次事故人身伤亡赔偿限额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024F46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250 万元</w:t>
            </w:r>
          </w:p>
        </w:tc>
      </w:tr>
      <w:tr w14:paraId="02FBF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60F322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每次事故每人赔偿限额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E2D0F4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80 万元</w:t>
            </w:r>
          </w:p>
        </w:tc>
      </w:tr>
      <w:tr w14:paraId="2C140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FA05D7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每次事故财产损失赔偿限额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ED1F4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250 万元</w:t>
            </w:r>
          </w:p>
        </w:tc>
      </w:tr>
      <w:tr w14:paraId="699B4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7130BA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每次事故救援费用赔偿限额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3EB0D3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100 万元</w:t>
            </w:r>
          </w:p>
        </w:tc>
      </w:tr>
      <w:tr w14:paraId="0B54F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2E705F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累计及每次事故法律费用限额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86C1B6">
            <w:pPr>
              <w:keepNext w:val="0"/>
              <w:keepLines w:val="0"/>
              <w:widowControl/>
              <w:suppressLineNumbers w:val="0"/>
              <w:jc w:val="left"/>
              <w:rPr>
                <w:sz w:val="28"/>
                <w:szCs w:val="28"/>
              </w:rPr>
            </w:pPr>
            <w:r>
              <w:rPr>
                <w:rFonts w:ascii="宋体" w:hAnsi="宋体" w:eastAsia="宋体" w:cs="宋体"/>
                <w:kern w:val="0"/>
                <w:sz w:val="28"/>
                <w:szCs w:val="28"/>
                <w:lang w:val="en-US" w:eastAsia="zh-CN" w:bidi="ar"/>
              </w:rPr>
              <w:t>20 万元</w:t>
            </w:r>
          </w:p>
        </w:tc>
      </w:tr>
    </w:tbl>
    <w:p w14:paraId="03D7E28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（二）参考保费</w:t>
      </w:r>
    </w:p>
    <w:p w14:paraId="59D835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参考保费：</w:t>
      </w:r>
      <w:r>
        <w:rPr>
          <w:rStyle w:val="7"/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20000 元 / 年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，参选机构可结合医院风险情况进行合理报价。</w:t>
      </w:r>
    </w:p>
    <w:p w14:paraId="45A434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（三）保障范围</w:t>
      </w:r>
    </w:p>
    <w:p w14:paraId="219661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保障医院院内经营管理过程中，因经营场所、设施管理疏忽等意外事故，造成第三者人身伤亡或财产损失，依法应由医院承担的经济赔偿责任。</w:t>
      </w:r>
    </w:p>
    <w:p w14:paraId="326BAA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五、参选机构报价要求</w:t>
      </w:r>
    </w:p>
    <w:p w14:paraId="5DE6A9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1. 参选机构须分别填报：医疗责任保险保费、公众责任保险保费，合计总保费；报价为保险服务全部含税总费用，合同履行期间不再产生其他额外收费。 2. 保险方案不得低于本用户需求书约定的赔偿限额、追溯期、服务标准，保障责任不得删减，低于本需求的响应作无效处理。 3. 完整提交保险方案：含保险责任、除外责任、理赔流程、配套增值服务方案、理赔时效承诺。</w:t>
      </w:r>
    </w:p>
    <w:p w14:paraId="180A14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六、理赔服务要求</w:t>
      </w:r>
    </w:p>
    <w:p w14:paraId="6C2C6A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1. 出险后响应：接到报案后及时介入，提供专业理赔指导；</w:t>
      </w:r>
    </w:p>
    <w:p w14:paraId="038648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2. 理赔时效：明确案件受理、资料审核、赔款支付的办理时限并作出书面承诺；</w:t>
      </w:r>
    </w:p>
    <w:p w14:paraId="6DF016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3. 理赔资料简化：对小额案件提供便捷理赔通道； </w:t>
      </w:r>
    </w:p>
    <w:p w14:paraId="58089C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4. 建立项目专属对接人，负责本项目的报案、理赔、咨询、培训对接工作。</w:t>
      </w:r>
    </w:p>
    <w:p w14:paraId="28E88B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5.理赔程序约定</w:t>
      </w:r>
    </w:p>
    <w:p w14:paraId="2FB359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采购人应在纠纷案件发生后及时报案，提供患者的书面投诉信复印件（若有）、身份证复印件（若有）；</w:t>
      </w:r>
    </w:p>
    <w:p w14:paraId="26ABCF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患者在医院的相关诊疗资料：①门诊患者含对应病历、挂号记录、收费清单等；②住院患者含病案首页、入院记录、出院记录、收费清单，如手术患者另附术前讨论、手术记录等。</w:t>
      </w:r>
    </w:p>
    <w:p w14:paraId="6EA90C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840" w:firstLineChars="3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6.代理律师费用</w:t>
      </w:r>
    </w:p>
    <w:p w14:paraId="726168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（1）被保险人指定律师处理法律事务，费用由中标人支付，代理律师由采购人选定，律师代理费按海南省司法厅规定律师收费标准(按现行有效最新版本)执行或按照医院招标的法律顾问协议执行。</w:t>
      </w:r>
    </w:p>
    <w:p w14:paraId="0CCCA2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（2）中标人应当在收到律师费支付申请后10个工作日内完成律师费等费用的支付。</w:t>
      </w:r>
    </w:p>
    <w:p w14:paraId="30467C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840" w:firstLineChars="3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7. 理赔流程</w:t>
      </w:r>
    </w:p>
    <w:p w14:paraId="2963B6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（1）对于自行和解的案件，被保险人可以与患者签署和解协议。被保险人将医患双方当事人主体材料（医院机构代码证、患者及权益人身份证复印件、转账银行账户等）、和解协议（复印件）、纠纷赔偿支付审批表等案件材料一并提交给保险人，保险人审核无误后按照约定的赔付时限直接赔付患方。</w:t>
      </w:r>
    </w:p>
    <w:p w14:paraId="527B6A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（2）对于诉讼/仲裁/调解案件，被保险人将生效的判决书/裁决书/调解书、调解协议提交保险人，保险人应根据判决书/裁决书/调解书、调解协议在规定的时间内进行保险赔付。</w:t>
      </w:r>
    </w:p>
    <w:p w14:paraId="7A35D7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（3）赔付标的10万元以下（含10万元）的，保险公司应在收到被保险人理赔材料后5个工作日内完成赔付；标的超过10万元的，保险公司应在收到被保险人理赔材料后10个工作日内完成赔付。</w:t>
      </w:r>
    </w:p>
    <w:p w14:paraId="1FB31F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（4）所有向患方支付的赔付，均应是已扣除了患方欠费之后的金额。</w:t>
      </w:r>
    </w:p>
    <w:p w14:paraId="5028FA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★8. 索赔资料清单（下列所有资料，不能提供原件的，可提供院方主管部门加盖公章的复印件）：</w:t>
      </w:r>
    </w:p>
    <w:p w14:paraId="0D6DB9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（1）自行和解案件(仅需提供如下材料)：</w:t>
      </w:r>
    </w:p>
    <w:p w14:paraId="3803A1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①索赔申请书；</w:t>
      </w:r>
    </w:p>
    <w:p w14:paraId="18DF01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②机构执业许可证、事业单位法人证书；</w:t>
      </w:r>
    </w:p>
    <w:p w14:paraId="2B365B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③医疗费用单据、其他费用单据等损失证明材料原件（不能提供原件的，可提供院方主管部门加盖公章的复印件）；</w:t>
      </w:r>
    </w:p>
    <w:p w14:paraId="6A2C44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④有关医务人员的资格证明（院方主管部门加盖公章）；</w:t>
      </w:r>
    </w:p>
    <w:p w14:paraId="56E29B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⑤患者完整的病历资料（法定患方保存的病历除外）；患者伤残的，如有司法鉴定机构依法出具的伤残鉴定报告，应提供伤残鉴定报告；患者死亡的，应当提供公安机关或医疗机构出具的死亡证明书等有关证明和资料；</w:t>
      </w:r>
    </w:p>
    <w:p w14:paraId="5D70FE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⑥被保险人与患者或其近亲属或其代理人签订的赔偿协议书或和解书；</w:t>
      </w:r>
    </w:p>
    <w:p w14:paraId="77B4BF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⑦患者或法定权益人银行账户。</w:t>
      </w:r>
    </w:p>
    <w:p w14:paraId="6C5CD5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（2）诉讼/仲裁/调解案件(仅需提供如下材料)：</w:t>
      </w:r>
    </w:p>
    <w:p w14:paraId="5596A5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①索赔申请书；</w:t>
      </w:r>
    </w:p>
    <w:p w14:paraId="7FA044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②机构执业许可证、事业单位法人证书；</w:t>
      </w:r>
    </w:p>
    <w:p w14:paraId="0BDA2E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③有关医务人员的资格证明（院方主管部门加盖公章）；</w:t>
      </w:r>
    </w:p>
    <w:p w14:paraId="735113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④患者完整的病历资料（法定患方保存的病历除外）；患者伤残经过鉴定的，应当提供司法鉴定机构依法出</w:t>
      </w:r>
    </w:p>
    <w:p w14:paraId="3FEFE9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具的伤残鉴定报告；患者死亡的，应当提供公安机关或医疗机构出具的死亡证明书等有关证明和资料（如有）；</w:t>
      </w:r>
    </w:p>
    <w:p w14:paraId="419F5F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⑤经国家批准或认可的司法鉴定机构、医疗事故技术鉴定机构进行过鉴定的，应提供司法鉴定意见书、医疗</w:t>
      </w:r>
    </w:p>
    <w:p w14:paraId="34384C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事故技术鉴定书；</w:t>
      </w:r>
    </w:p>
    <w:p w14:paraId="477AD8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⑥被保险人与患者或其近亲属或其代理人签订的赔偿协议书或和解书；</w:t>
      </w:r>
    </w:p>
    <w:p w14:paraId="5CC66E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⑦经法院判决或法院调解的，应提供法院判决书或法院调解书；经仲裁裁决或调解的，应提供仲裁裁决书或仲裁调解书；经医患纠纷人民调解委员会调解的，应提供医调委意见书；经行政介入处理的，应提供行政介入处理意见书；</w:t>
      </w:r>
    </w:p>
    <w:p w14:paraId="6EE2EB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⑧医疗费用单据、其他费用单据等损失证明材料原件（不能提供原件的，可提供院方主管部门加盖公章的复印件）；</w:t>
      </w:r>
    </w:p>
    <w:p w14:paraId="511F95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⑨患者或法定权益人银行账户。</w:t>
      </w:r>
    </w:p>
    <w:p w14:paraId="45814D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（3）医疗欠费案件(仅需提供如下材料)：</w:t>
      </w:r>
    </w:p>
    <w:p w14:paraId="483324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①患方投诉材料；</w:t>
      </w:r>
    </w:p>
    <w:p w14:paraId="7D7ADF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②机构执业许可证、事业单位法人证书；</w:t>
      </w:r>
    </w:p>
    <w:p w14:paraId="47D691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③医疗费用单据，押金单、欠费情况说明（不能提供原件的，可提供院方主管部门加盖公章的复印件）；</w:t>
      </w:r>
    </w:p>
    <w:p w14:paraId="1E7A17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④有关医务人员的资格证明（院方主管部门加盖公章）；</w:t>
      </w:r>
    </w:p>
    <w:p w14:paraId="642E9F4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⑤患者完整的病历资料（法定患方保存的病历除外）；</w:t>
      </w:r>
    </w:p>
    <w:p w14:paraId="116FBA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⑥甲方的陈述意见；</w:t>
      </w:r>
    </w:p>
    <w:p w14:paraId="6994F0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 w:bidi="ar"/>
        </w:rPr>
        <w:t>⑦甲方的银行账户。</w:t>
      </w:r>
    </w:p>
    <w:p w14:paraId="7A8202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七、合同主要约定</w:t>
      </w:r>
    </w:p>
    <w:p w14:paraId="00F324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1. 保险服务期限：1 年，自保险合同生效之日起算。 </w:t>
      </w:r>
    </w:p>
    <w:p w14:paraId="2A9490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2. 承保机构须严格按照遴选响应文件、本用户需求书内容签订保险合同，不得擅自降低保障标准。</w:t>
      </w:r>
    </w:p>
    <w:p w14:paraId="37C77D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3. 保险期内，保险公司按约定完成理赔、纠纷调解、风险培训等全部配套服务；医院对承保机构服务质量进行考核，服务不达标按合同约定处理。 </w:t>
      </w:r>
    </w:p>
    <w:p w14:paraId="4D7D04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4. 本项目不接受转包、分包。</w:t>
      </w:r>
    </w:p>
    <w:p w14:paraId="2CC2375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2" w:firstLineChars="20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八、其他说明</w:t>
      </w:r>
    </w:p>
    <w:p w14:paraId="5ED11B3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1. 本用户需求书为遴选文件组成部分，中选后作为保险合同重要附件。 </w:t>
      </w:r>
    </w:p>
    <w:p w14:paraId="114024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560" w:firstLineChars="200"/>
        <w:jc w:val="left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2. 保险未尽事宜，按照国家金融监督管理总局相关监管规定及保险合同条款执行。</w:t>
      </w:r>
    </w:p>
    <w:p w14:paraId="7F3EE208">
      <w:pPr>
        <w:rPr>
          <w:rFonts w:ascii="宋体" w:hAnsi="宋体" w:eastAsia="宋体" w:cs="宋体"/>
          <w:sz w:val="28"/>
          <w:szCs w:val="28"/>
        </w:rPr>
      </w:pP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B1306"/>
    <w:rsid w:val="186E70CF"/>
    <w:rsid w:val="4AA95E79"/>
    <w:rsid w:val="4B2F60E9"/>
    <w:rsid w:val="550B1306"/>
    <w:rsid w:val="5BD767B8"/>
    <w:rsid w:val="647B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3164</Words>
  <Characters>3275</Characters>
  <Lines>0</Lines>
  <Paragraphs>0</Paragraphs>
  <TotalTime>53</TotalTime>
  <ScaleCrop>false</ScaleCrop>
  <LinksUpToDate>false</LinksUpToDate>
  <CharactersWithSpaces>3365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2026-08-28T02:27:00Z</dcterms:created>
  <dc:creator>Lenovo</dc:creator>
  <cp:lastModifiedBy>Lenovo</cp:lastModifiedBy>
  <dcterms:modified xsi:type="dcterms:W3CDTF">2026-09-01T02:09:39Z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412693BD0D334B9CA41FB52B09EE2D97_13</vt:lpwstr>
  </property>
  <property fmtid="{D5CDD505-2E9C-101B-9397-08002B2CF9AE}" pid="4" name="KSOTemplateDocerSaveRecord">
    <vt:lpwstr>eyJoZGlkIjoiZWI1MmY5NWE0OWZmZjIyZmY2MzcyYWVmNGNlZDM5OTMiLCJ1c2VySWQiOiI5MTU2NjIyOTAifQ==</vt:lpwstr>
  </property>
</Properties>
</file>