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DA54F1">
      <w:pPr>
        <w:pStyle w:val="7"/>
        <w:adjustRightInd w:val="0"/>
        <w:snapToGrid w:val="0"/>
        <w:spacing w:line="360" w:lineRule="auto"/>
        <w:jc w:val="center"/>
        <w:rPr>
          <w:rFonts w:hAnsi="宋体" w:eastAsia="宋体" w:cs="宋体"/>
          <w:b/>
          <w:sz w:val="28"/>
          <w:szCs w:val="28"/>
        </w:rPr>
      </w:pPr>
      <w:r>
        <w:rPr>
          <w:rFonts w:hint="eastAsia" w:hAnsi="宋体" w:eastAsia="宋体" w:cs="宋体"/>
          <w:b/>
          <w:sz w:val="28"/>
          <w:szCs w:val="28"/>
        </w:rPr>
        <w:t>项目主要内容</w:t>
      </w:r>
    </w:p>
    <w:p w14:paraId="06F3054A">
      <w:pPr>
        <w:pStyle w:val="6"/>
        <w:adjustRightInd w:val="0"/>
        <w:snapToGrid w:val="0"/>
        <w:spacing w:after="0" w:line="360" w:lineRule="auto"/>
        <w:ind w:left="0" w:leftChars="0" w:firstLine="562"/>
        <w:jc w:val="left"/>
        <w:rPr>
          <w:rFonts w:ascii="宋体" w:hAnsi="宋体" w:eastAsia="宋体" w:cs="宋体"/>
          <w:b/>
          <w:bCs/>
          <w:color w:val="000000"/>
          <w:kern w:val="0"/>
          <w:szCs w:val="28"/>
        </w:rPr>
      </w:pP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57"/>
        <w:gridCol w:w="3273"/>
        <w:gridCol w:w="1364"/>
        <w:gridCol w:w="2830"/>
      </w:tblGrid>
      <w:tr w14:paraId="5F1D4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57" w:type="dxa"/>
          </w:tcPr>
          <w:p w14:paraId="122D9290">
            <w:pPr>
              <w:spacing w:line="360" w:lineRule="auto"/>
              <w:jc w:val="center"/>
              <w:rPr>
                <w:rFonts w:ascii="宋体" w:hAnsi="宋体" w:eastAsia="宋体" w:cs="宋体"/>
                <w:b/>
                <w:bCs/>
                <w:color w:val="000000"/>
                <w:sz w:val="28"/>
                <w:szCs w:val="28"/>
              </w:rPr>
            </w:pPr>
            <w:r>
              <w:rPr>
                <w:rFonts w:hint="eastAsia" w:ascii="宋体" w:hAnsi="宋体" w:eastAsia="宋体" w:cs="宋体"/>
                <w:b/>
                <w:bCs/>
                <w:color w:val="000000"/>
                <w:sz w:val="28"/>
                <w:szCs w:val="28"/>
              </w:rPr>
              <w:t>序号</w:t>
            </w:r>
          </w:p>
        </w:tc>
        <w:tc>
          <w:tcPr>
            <w:tcW w:w="3273" w:type="dxa"/>
          </w:tcPr>
          <w:p w14:paraId="2364F458">
            <w:pPr>
              <w:spacing w:line="360" w:lineRule="auto"/>
              <w:jc w:val="center"/>
              <w:rPr>
                <w:rFonts w:ascii="宋体" w:hAnsi="宋体" w:eastAsia="宋体" w:cs="宋体"/>
                <w:b/>
                <w:bCs/>
                <w:color w:val="000000"/>
                <w:sz w:val="28"/>
                <w:szCs w:val="28"/>
              </w:rPr>
            </w:pPr>
            <w:r>
              <w:rPr>
                <w:rFonts w:hint="eastAsia" w:ascii="宋体" w:hAnsi="宋体" w:eastAsia="宋体" w:cs="宋体"/>
                <w:b/>
                <w:color w:val="000000"/>
                <w:sz w:val="28"/>
                <w:szCs w:val="28"/>
              </w:rPr>
              <w:t>名称</w:t>
            </w:r>
          </w:p>
        </w:tc>
        <w:tc>
          <w:tcPr>
            <w:tcW w:w="1364" w:type="dxa"/>
          </w:tcPr>
          <w:p w14:paraId="4D38B1AF">
            <w:pPr>
              <w:spacing w:line="360" w:lineRule="auto"/>
              <w:jc w:val="center"/>
              <w:rPr>
                <w:rFonts w:ascii="宋体" w:hAnsi="宋体" w:eastAsia="宋体" w:cs="宋体"/>
                <w:b/>
                <w:bCs/>
                <w:color w:val="000000"/>
                <w:sz w:val="28"/>
                <w:szCs w:val="28"/>
              </w:rPr>
            </w:pPr>
            <w:r>
              <w:rPr>
                <w:rFonts w:hint="eastAsia" w:ascii="宋体" w:hAnsi="宋体" w:eastAsia="宋体" w:cs="宋体"/>
                <w:b/>
                <w:bCs/>
                <w:color w:val="000000"/>
                <w:sz w:val="28"/>
                <w:szCs w:val="28"/>
              </w:rPr>
              <w:t>数量</w:t>
            </w:r>
          </w:p>
        </w:tc>
        <w:tc>
          <w:tcPr>
            <w:tcW w:w="2830" w:type="dxa"/>
          </w:tcPr>
          <w:p w14:paraId="673ECBB6">
            <w:pPr>
              <w:spacing w:line="360" w:lineRule="auto"/>
              <w:jc w:val="center"/>
              <w:rPr>
                <w:rFonts w:hint="eastAsia" w:ascii="宋体" w:hAnsi="宋体" w:eastAsia="宋体" w:cs="宋体"/>
                <w:b/>
                <w:bCs/>
                <w:color w:val="000000"/>
                <w:sz w:val="28"/>
                <w:szCs w:val="28"/>
                <w:lang w:val="en-US" w:eastAsia="zh-CN"/>
              </w:rPr>
            </w:pPr>
            <w:r>
              <w:rPr>
                <w:rFonts w:hint="eastAsia" w:ascii="宋体" w:hAnsi="宋体" w:eastAsia="宋体" w:cs="宋体"/>
                <w:b/>
                <w:bCs/>
                <w:color w:val="000000"/>
                <w:sz w:val="28"/>
                <w:szCs w:val="28"/>
                <w:lang w:val="en-US" w:eastAsia="zh-CN"/>
              </w:rPr>
              <w:t>预估概算</w:t>
            </w:r>
          </w:p>
        </w:tc>
      </w:tr>
      <w:tr w14:paraId="3BBB9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57" w:type="dxa"/>
          </w:tcPr>
          <w:p w14:paraId="1D9D6350">
            <w:pPr>
              <w:spacing w:line="360" w:lineRule="auto"/>
              <w:jc w:val="center"/>
              <w:rPr>
                <w:rFonts w:ascii="宋体" w:hAnsi="宋体" w:eastAsia="宋体" w:cs="宋体"/>
                <w:b w:val="0"/>
                <w:bCs w:val="0"/>
                <w:color w:val="000000"/>
                <w:sz w:val="28"/>
                <w:szCs w:val="28"/>
              </w:rPr>
            </w:pPr>
            <w:r>
              <w:rPr>
                <w:rFonts w:hint="eastAsia" w:ascii="宋体" w:hAnsi="宋体" w:eastAsia="宋体" w:cs="宋体"/>
                <w:b w:val="0"/>
                <w:bCs w:val="0"/>
                <w:color w:val="000000"/>
                <w:sz w:val="28"/>
                <w:szCs w:val="28"/>
              </w:rPr>
              <w:t>1</w:t>
            </w:r>
          </w:p>
        </w:tc>
        <w:tc>
          <w:tcPr>
            <w:tcW w:w="3273" w:type="dxa"/>
            <w:shd w:val="clear" w:color="auto" w:fill="auto"/>
            <w:vAlign w:val="center"/>
          </w:tcPr>
          <w:p w14:paraId="02EBFB8D">
            <w:pPr>
              <w:jc w:val="center"/>
              <w:rPr>
                <w:rFonts w:ascii="宋体" w:hAnsi="宋体" w:eastAsia="宋体" w:cs="宋体"/>
                <w:b w:val="0"/>
                <w:bCs w:val="0"/>
                <w:color w:val="000000"/>
                <w:sz w:val="28"/>
                <w:szCs w:val="28"/>
              </w:rPr>
            </w:pPr>
            <w:r>
              <w:rPr>
                <w:rFonts w:hint="eastAsia" w:ascii="宋体" w:hAnsi="宋体" w:eastAsia="宋体" w:cs="宋体"/>
                <w:b w:val="0"/>
                <w:bCs w:val="0"/>
                <w:color w:val="444444"/>
                <w:kern w:val="0"/>
                <w:sz w:val="28"/>
                <w:szCs w:val="28"/>
              </w:rPr>
              <w:t>DIP管理平台</w:t>
            </w:r>
          </w:p>
        </w:tc>
        <w:tc>
          <w:tcPr>
            <w:tcW w:w="1364" w:type="dxa"/>
          </w:tcPr>
          <w:p w14:paraId="7F4421D9">
            <w:pPr>
              <w:spacing w:line="360" w:lineRule="auto"/>
              <w:jc w:val="center"/>
              <w:rPr>
                <w:rFonts w:ascii="宋体" w:hAnsi="宋体" w:eastAsia="宋体" w:cs="宋体"/>
                <w:b w:val="0"/>
                <w:bCs w:val="0"/>
                <w:color w:val="000000"/>
                <w:sz w:val="28"/>
                <w:szCs w:val="28"/>
              </w:rPr>
            </w:pPr>
            <w:r>
              <w:rPr>
                <w:rFonts w:hint="eastAsia" w:ascii="宋体" w:hAnsi="宋体" w:eastAsia="宋体" w:cs="宋体"/>
                <w:b w:val="0"/>
                <w:bCs w:val="0"/>
                <w:color w:val="000000"/>
                <w:sz w:val="28"/>
                <w:szCs w:val="28"/>
              </w:rPr>
              <w:t>1项</w:t>
            </w:r>
          </w:p>
        </w:tc>
        <w:tc>
          <w:tcPr>
            <w:tcW w:w="2830" w:type="dxa"/>
          </w:tcPr>
          <w:p w14:paraId="33CE14FD">
            <w:pPr>
              <w:spacing w:line="360" w:lineRule="auto"/>
              <w:jc w:val="center"/>
              <w:rPr>
                <w:rFonts w:hint="default" w:ascii="宋体" w:hAnsi="宋体" w:eastAsia="宋体" w:cs="宋体"/>
                <w:b w:val="0"/>
                <w:bCs w:val="0"/>
                <w:color w:val="000000"/>
                <w:sz w:val="28"/>
                <w:szCs w:val="28"/>
                <w:lang w:val="en-US" w:eastAsia="zh-CN"/>
              </w:rPr>
            </w:pPr>
            <w:r>
              <w:rPr>
                <w:rFonts w:hint="eastAsia" w:ascii="宋体" w:hAnsi="宋体" w:eastAsia="宋体" w:cs="宋体"/>
                <w:b w:val="0"/>
                <w:bCs w:val="0"/>
                <w:color w:val="000000"/>
                <w:sz w:val="28"/>
                <w:szCs w:val="28"/>
                <w:lang w:val="en-US" w:eastAsia="zh-CN"/>
              </w:rPr>
              <w:t>人民币90万元</w:t>
            </w:r>
          </w:p>
        </w:tc>
      </w:tr>
    </w:tbl>
    <w:p w14:paraId="46FE4A02">
      <w:pPr>
        <w:rPr>
          <w:rFonts w:hint="eastAsia" w:ascii="宋体" w:hAnsi="宋体" w:eastAsia="宋体" w:cs="宋体"/>
          <w:b/>
          <w:bCs/>
          <w:color w:val="000000"/>
          <w:kern w:val="0"/>
          <w:sz w:val="28"/>
          <w:szCs w:val="28"/>
        </w:rPr>
      </w:pPr>
    </w:p>
    <w:p w14:paraId="57F0B16D">
      <w:pPr>
        <w:rPr>
          <w:rFonts w:hint="eastAsia" w:ascii="宋体" w:hAnsi="宋体" w:eastAsia="宋体" w:cs="宋体"/>
          <w:b/>
          <w:bCs/>
          <w:color w:val="000000"/>
          <w:kern w:val="0"/>
          <w:sz w:val="28"/>
          <w:szCs w:val="28"/>
        </w:rPr>
      </w:pPr>
      <w:r>
        <w:rPr>
          <w:rFonts w:hint="eastAsia" w:hAnsi="宋体" w:eastAsia="宋体" w:cs="宋体"/>
          <w:b/>
          <w:color w:val="auto"/>
          <w:sz w:val="28"/>
          <w:szCs w:val="28"/>
          <w:highlight w:val="none"/>
          <w:lang w:eastAsia="zh-CN"/>
        </w:rPr>
        <w:t>注：以上预估概算仅为预</w:t>
      </w:r>
      <w:bookmarkStart w:id="0" w:name="_GoBack"/>
      <w:bookmarkEnd w:id="0"/>
      <w:r>
        <w:rPr>
          <w:rFonts w:hint="eastAsia" w:hAnsi="宋体" w:eastAsia="宋体" w:cs="宋体"/>
          <w:b/>
          <w:color w:val="auto"/>
          <w:sz w:val="28"/>
          <w:szCs w:val="28"/>
          <w:highlight w:val="none"/>
          <w:lang w:eastAsia="zh-CN"/>
        </w:rPr>
        <w:t>估金额，供调研报价参考，供应商根据自身实际情况报价，报价应不高于上述预估概算。</w:t>
      </w:r>
    </w:p>
    <w:p w14:paraId="7382372B">
      <w:pPr>
        <w:rPr>
          <w:rFonts w:hint="eastAsia" w:ascii="宋体" w:hAnsi="宋体" w:eastAsia="宋体" w:cs="宋体"/>
          <w:b/>
          <w:bCs/>
          <w:color w:val="000000"/>
          <w:kern w:val="0"/>
          <w:sz w:val="28"/>
          <w:szCs w:val="28"/>
        </w:rPr>
      </w:pPr>
    </w:p>
    <w:p w14:paraId="099CDF32">
      <w:pPr>
        <w:rPr>
          <w:rFonts w:ascii="宋体" w:hAnsi="宋体" w:eastAsia="宋体" w:cs="宋体"/>
          <w:b/>
          <w:bCs/>
          <w:color w:val="000000"/>
          <w:kern w:val="0"/>
          <w:sz w:val="28"/>
          <w:szCs w:val="28"/>
        </w:rPr>
        <w:sectPr>
          <w:pgSz w:w="11906" w:h="16838"/>
          <w:pgMar w:top="1020" w:right="1466" w:bottom="1440" w:left="1200" w:header="851" w:footer="992" w:gutter="0"/>
          <w:cols w:space="425" w:num="1"/>
          <w:docGrid w:type="lines" w:linePitch="312" w:charSpace="0"/>
        </w:sectPr>
      </w:pPr>
      <w:r>
        <w:rPr>
          <w:rFonts w:hint="eastAsia" w:ascii="宋体" w:hAnsi="宋体" w:eastAsia="宋体" w:cs="宋体"/>
          <w:b/>
          <w:bCs/>
          <w:color w:val="000000"/>
          <w:kern w:val="0"/>
          <w:sz w:val="28"/>
          <w:szCs w:val="28"/>
        </w:rPr>
        <w:br w:type="page"/>
      </w:r>
    </w:p>
    <w:p w14:paraId="3BEE91E5">
      <w:pPr>
        <w:widowControl/>
        <w:ind w:left="-594" w:leftChars="-283" w:right="-733" w:rightChars="-349" w:firstLine="176"/>
        <w:jc w:val="center"/>
        <w:textAlignment w:val="center"/>
        <w:rPr>
          <w:rFonts w:ascii="宋体" w:hAnsi="宋体" w:eastAsia="宋体" w:cs="宋体"/>
          <w:b/>
          <w:bCs/>
          <w:color w:val="000000"/>
          <w:kern w:val="0"/>
          <w:sz w:val="28"/>
          <w:szCs w:val="28"/>
        </w:rPr>
      </w:pPr>
      <w:r>
        <w:rPr>
          <w:rFonts w:hint="eastAsia" w:ascii="宋体" w:hAnsi="宋体" w:eastAsia="宋体" w:cs="宋体"/>
          <w:b/>
          <w:bCs/>
          <w:color w:val="000000"/>
          <w:kern w:val="0"/>
          <w:sz w:val="28"/>
          <w:szCs w:val="28"/>
        </w:rPr>
        <w:t>中山大学中山眼科中心海南眼科医院</w:t>
      </w:r>
    </w:p>
    <w:p w14:paraId="077CEB6D">
      <w:pPr>
        <w:jc w:val="center"/>
        <w:rPr>
          <w:rFonts w:ascii="宋体" w:hAnsi="宋体" w:eastAsia="宋体" w:cs="宋体"/>
          <w:b/>
          <w:bCs/>
          <w:color w:val="000000"/>
          <w:kern w:val="0"/>
          <w:sz w:val="28"/>
          <w:szCs w:val="28"/>
        </w:rPr>
      </w:pPr>
      <w:r>
        <w:rPr>
          <w:rFonts w:hint="eastAsia" w:ascii="宋体" w:hAnsi="宋体" w:eastAsia="宋体" w:cs="宋体"/>
          <w:b/>
          <w:bCs/>
          <w:color w:val="000000"/>
          <w:kern w:val="0"/>
          <w:sz w:val="28"/>
          <w:szCs w:val="28"/>
        </w:rPr>
        <w:t>采购项目市场调研表</w:t>
      </w:r>
    </w:p>
    <w:tbl>
      <w:tblPr>
        <w:tblStyle w:val="13"/>
        <w:tblW w:w="5190" w:type="pct"/>
        <w:jc w:val="center"/>
        <w:tblLayout w:type="autofit"/>
        <w:tblCellMar>
          <w:top w:w="0" w:type="dxa"/>
          <w:left w:w="108" w:type="dxa"/>
          <w:bottom w:w="0" w:type="dxa"/>
          <w:right w:w="108" w:type="dxa"/>
        </w:tblCellMar>
      </w:tblPr>
      <w:tblGrid>
        <w:gridCol w:w="738"/>
        <w:gridCol w:w="1794"/>
        <w:gridCol w:w="285"/>
        <w:gridCol w:w="1509"/>
        <w:gridCol w:w="15"/>
        <w:gridCol w:w="1624"/>
        <w:gridCol w:w="309"/>
        <w:gridCol w:w="1118"/>
        <w:gridCol w:w="1524"/>
        <w:gridCol w:w="706"/>
        <w:gridCol w:w="818"/>
        <w:gridCol w:w="1088"/>
        <w:gridCol w:w="64"/>
        <w:gridCol w:w="415"/>
        <w:gridCol w:w="1045"/>
        <w:gridCol w:w="479"/>
        <w:gridCol w:w="1618"/>
      </w:tblGrid>
      <w:tr w14:paraId="4CFB6A65">
        <w:tblPrEx>
          <w:tblCellMar>
            <w:top w:w="0" w:type="dxa"/>
            <w:left w:w="108" w:type="dxa"/>
            <w:bottom w:w="0" w:type="dxa"/>
            <w:right w:w="108" w:type="dxa"/>
          </w:tblCellMar>
        </w:tblPrEx>
        <w:trPr>
          <w:trHeight w:val="540" w:hRule="atLeast"/>
          <w:jc w:val="center"/>
        </w:trPr>
        <w:tc>
          <w:tcPr>
            <w:tcW w:w="244" w:type="pct"/>
            <w:tcBorders>
              <w:top w:val="single" w:color="000000" w:sz="4" w:space="0"/>
              <w:left w:val="single" w:color="000000" w:sz="4" w:space="0"/>
              <w:bottom w:val="single" w:color="000000" w:sz="4" w:space="0"/>
              <w:right w:val="single" w:color="000000" w:sz="4" w:space="0"/>
            </w:tcBorders>
            <w:shd w:val="clear" w:color="auto" w:fill="D9D9D9"/>
            <w:vAlign w:val="center"/>
          </w:tcPr>
          <w:p w14:paraId="0F6BB7E5">
            <w:pPr>
              <w:rPr>
                <w:rFonts w:ascii="宋体" w:hAnsi="宋体" w:eastAsia="宋体" w:cs="宋体"/>
                <w:b/>
                <w:sz w:val="24"/>
              </w:rPr>
            </w:pPr>
            <w:r>
              <w:rPr>
                <w:rFonts w:hint="eastAsia" w:ascii="宋体" w:hAnsi="宋体" w:eastAsia="宋体" w:cs="宋体"/>
                <w:b/>
                <w:sz w:val="24"/>
              </w:rPr>
              <w:t>序号</w:t>
            </w:r>
          </w:p>
        </w:tc>
        <w:tc>
          <w:tcPr>
            <w:tcW w:w="592" w:type="pct"/>
            <w:tcBorders>
              <w:top w:val="single" w:color="000000" w:sz="4" w:space="0"/>
              <w:left w:val="single" w:color="000000" w:sz="4" w:space="0"/>
              <w:bottom w:val="single" w:color="000000" w:sz="4" w:space="0"/>
              <w:right w:val="single" w:color="000000" w:sz="4" w:space="0"/>
            </w:tcBorders>
            <w:shd w:val="clear" w:color="auto" w:fill="D9D9D9"/>
            <w:vAlign w:val="center"/>
          </w:tcPr>
          <w:p w14:paraId="61281458">
            <w:pPr>
              <w:jc w:val="center"/>
              <w:rPr>
                <w:rFonts w:ascii="宋体" w:hAnsi="宋体" w:eastAsia="宋体" w:cs="宋体"/>
                <w:b/>
                <w:sz w:val="24"/>
              </w:rPr>
            </w:pPr>
            <w:r>
              <w:rPr>
                <w:rFonts w:hint="eastAsia" w:ascii="宋体" w:hAnsi="宋体" w:eastAsia="宋体" w:cs="宋体"/>
                <w:b/>
                <w:sz w:val="24"/>
              </w:rPr>
              <w:t>产品名称</w:t>
            </w:r>
          </w:p>
        </w:tc>
        <w:tc>
          <w:tcPr>
            <w:tcW w:w="592" w:type="pct"/>
            <w:gridSpan w:val="2"/>
            <w:tcBorders>
              <w:top w:val="single" w:color="000000" w:sz="4" w:space="0"/>
              <w:left w:val="single" w:color="000000" w:sz="4" w:space="0"/>
              <w:bottom w:val="single" w:color="000000" w:sz="4" w:space="0"/>
              <w:right w:val="single" w:color="000000" w:sz="4" w:space="0"/>
            </w:tcBorders>
            <w:shd w:val="clear" w:color="auto" w:fill="D9D9D9"/>
            <w:vAlign w:val="center"/>
          </w:tcPr>
          <w:p w14:paraId="1DF987B6">
            <w:pPr>
              <w:jc w:val="center"/>
              <w:rPr>
                <w:rFonts w:ascii="宋体" w:hAnsi="宋体" w:eastAsia="宋体" w:cs="宋体"/>
                <w:b/>
                <w:sz w:val="24"/>
              </w:rPr>
            </w:pPr>
            <w:r>
              <w:rPr>
                <w:rFonts w:hint="eastAsia" w:ascii="宋体" w:hAnsi="宋体" w:eastAsia="宋体" w:cs="宋体"/>
                <w:b/>
                <w:sz w:val="24"/>
              </w:rPr>
              <w:t>服务期</w:t>
            </w:r>
          </w:p>
        </w:tc>
        <w:tc>
          <w:tcPr>
            <w:tcW w:w="643" w:type="pct"/>
            <w:gridSpan w:val="3"/>
            <w:tcBorders>
              <w:top w:val="single" w:color="000000" w:sz="4" w:space="0"/>
              <w:left w:val="single" w:color="000000" w:sz="4" w:space="0"/>
              <w:bottom w:val="single" w:color="000000" w:sz="4" w:space="0"/>
              <w:right w:val="single" w:color="000000" w:sz="4" w:space="0"/>
            </w:tcBorders>
            <w:shd w:val="clear" w:color="auto" w:fill="D9D9D9"/>
            <w:vAlign w:val="center"/>
          </w:tcPr>
          <w:p w14:paraId="7DABA247">
            <w:pPr>
              <w:rPr>
                <w:rFonts w:ascii="宋体" w:hAnsi="宋体" w:eastAsia="宋体" w:cs="宋体"/>
                <w:b/>
                <w:sz w:val="24"/>
              </w:rPr>
            </w:pPr>
            <w:r>
              <w:rPr>
                <w:rFonts w:hint="eastAsia" w:ascii="宋体" w:hAnsi="宋体" w:eastAsia="宋体" w:cs="宋体"/>
                <w:b/>
                <w:sz w:val="24"/>
              </w:rPr>
              <w:t>品牌</w:t>
            </w:r>
          </w:p>
        </w:tc>
        <w:tc>
          <w:tcPr>
            <w:tcW w:w="1105" w:type="pct"/>
            <w:gridSpan w:val="3"/>
            <w:tcBorders>
              <w:top w:val="single" w:color="000000" w:sz="4" w:space="0"/>
              <w:left w:val="single" w:color="000000" w:sz="4" w:space="0"/>
              <w:bottom w:val="single" w:color="000000" w:sz="4" w:space="0"/>
              <w:right w:val="single" w:color="000000" w:sz="4" w:space="0"/>
            </w:tcBorders>
            <w:shd w:val="clear" w:color="auto" w:fill="D9D9D9"/>
            <w:vAlign w:val="center"/>
          </w:tcPr>
          <w:p w14:paraId="72DE2E69">
            <w:pPr>
              <w:rPr>
                <w:rFonts w:ascii="宋体" w:hAnsi="宋体" w:eastAsia="宋体" w:cs="宋体"/>
                <w:b/>
                <w:sz w:val="24"/>
              </w:rPr>
            </w:pPr>
            <w:r>
              <w:rPr>
                <w:rFonts w:hint="eastAsia" w:ascii="宋体" w:hAnsi="宋体" w:eastAsia="宋体" w:cs="宋体"/>
                <w:b/>
                <w:sz w:val="24"/>
              </w:rPr>
              <w:t>规格型号</w:t>
            </w:r>
          </w:p>
        </w:tc>
        <w:tc>
          <w:tcPr>
            <w:tcW w:w="629" w:type="pct"/>
            <w:gridSpan w:val="2"/>
            <w:tcBorders>
              <w:top w:val="single" w:color="000000" w:sz="4" w:space="0"/>
              <w:left w:val="single" w:color="000000" w:sz="4" w:space="0"/>
              <w:bottom w:val="single" w:color="000000" w:sz="4" w:space="0"/>
              <w:right w:val="single" w:color="auto" w:sz="4" w:space="0"/>
            </w:tcBorders>
            <w:shd w:val="clear" w:color="auto" w:fill="D9D9D9"/>
            <w:vAlign w:val="center"/>
          </w:tcPr>
          <w:p w14:paraId="661B35D4">
            <w:pPr>
              <w:rPr>
                <w:rFonts w:ascii="宋体" w:hAnsi="宋体" w:eastAsia="宋体" w:cs="宋体"/>
                <w:b/>
                <w:sz w:val="24"/>
              </w:rPr>
            </w:pPr>
            <w:r>
              <w:rPr>
                <w:rFonts w:hint="eastAsia" w:ascii="宋体" w:hAnsi="宋体" w:eastAsia="宋体" w:cs="宋体"/>
                <w:b/>
                <w:sz w:val="24"/>
              </w:rPr>
              <w:t>产地</w:t>
            </w:r>
          </w:p>
        </w:tc>
        <w:tc>
          <w:tcPr>
            <w:tcW w:w="503" w:type="pct"/>
            <w:gridSpan w:val="3"/>
            <w:tcBorders>
              <w:top w:val="single" w:color="auto" w:sz="4" w:space="0"/>
              <w:left w:val="single" w:color="auto" w:sz="4" w:space="0"/>
              <w:bottom w:val="single" w:color="auto" w:sz="4" w:space="0"/>
              <w:right w:val="single" w:color="auto" w:sz="4" w:space="0"/>
            </w:tcBorders>
            <w:shd w:val="clear" w:color="auto" w:fill="D9D9D9"/>
            <w:vAlign w:val="center"/>
          </w:tcPr>
          <w:p w14:paraId="72B92E2A">
            <w:pPr>
              <w:rPr>
                <w:rFonts w:ascii="宋体" w:hAnsi="宋体" w:eastAsia="宋体" w:cs="宋体"/>
                <w:b/>
                <w:sz w:val="24"/>
              </w:rPr>
            </w:pPr>
            <w:r>
              <w:rPr>
                <w:rFonts w:hint="eastAsia" w:ascii="宋体" w:hAnsi="宋体" w:eastAsia="宋体" w:cs="宋体"/>
                <w:b/>
                <w:sz w:val="24"/>
              </w:rPr>
              <w:t>数量</w:t>
            </w:r>
          </w:p>
        </w:tc>
        <w:tc>
          <w:tcPr>
            <w:tcW w:w="689" w:type="pct"/>
            <w:gridSpan w:val="2"/>
            <w:tcBorders>
              <w:top w:val="single" w:color="auto" w:sz="4" w:space="0"/>
              <w:left w:val="single" w:color="auto" w:sz="4" w:space="0"/>
              <w:bottom w:val="single" w:color="auto" w:sz="4" w:space="0"/>
              <w:right w:val="single" w:color="auto" w:sz="4" w:space="0"/>
            </w:tcBorders>
            <w:shd w:val="clear" w:color="auto" w:fill="D9D9D9"/>
            <w:vAlign w:val="center"/>
          </w:tcPr>
          <w:p w14:paraId="3C1ABCFD">
            <w:pPr>
              <w:rPr>
                <w:rFonts w:ascii="宋体" w:hAnsi="宋体" w:eastAsia="宋体" w:cs="宋体"/>
                <w:b/>
                <w:sz w:val="24"/>
              </w:rPr>
            </w:pPr>
            <w:r>
              <w:rPr>
                <w:rFonts w:hint="eastAsia" w:ascii="宋体" w:hAnsi="宋体" w:eastAsia="宋体" w:cs="宋体"/>
                <w:b/>
                <w:sz w:val="24"/>
              </w:rPr>
              <w:t>单价(万元)</w:t>
            </w:r>
          </w:p>
        </w:tc>
      </w:tr>
      <w:tr w14:paraId="423E9EA9">
        <w:tblPrEx>
          <w:tblCellMar>
            <w:top w:w="0" w:type="dxa"/>
            <w:left w:w="108" w:type="dxa"/>
            <w:bottom w:w="0" w:type="dxa"/>
            <w:right w:w="108" w:type="dxa"/>
          </w:tblCellMar>
        </w:tblPrEx>
        <w:trPr>
          <w:trHeight w:val="585" w:hRule="atLeast"/>
          <w:jc w:val="center"/>
        </w:trPr>
        <w:tc>
          <w:tcPr>
            <w:tcW w:w="244" w:type="pct"/>
            <w:tcBorders>
              <w:top w:val="single" w:color="000000" w:sz="4" w:space="0"/>
              <w:left w:val="single" w:color="000000" w:sz="4" w:space="0"/>
              <w:bottom w:val="single" w:color="000000" w:sz="4" w:space="0"/>
              <w:right w:val="single" w:color="000000" w:sz="4" w:space="0"/>
            </w:tcBorders>
            <w:vAlign w:val="center"/>
          </w:tcPr>
          <w:p w14:paraId="75C75AAB">
            <w:pPr>
              <w:rPr>
                <w:rFonts w:ascii="宋体" w:hAnsi="宋体" w:eastAsia="宋体" w:cs="宋体"/>
                <w:b/>
                <w:sz w:val="24"/>
              </w:rPr>
            </w:pPr>
            <w:r>
              <w:rPr>
                <w:rFonts w:hint="eastAsia" w:ascii="宋体" w:hAnsi="宋体" w:eastAsia="宋体" w:cs="宋体"/>
                <w:b/>
                <w:sz w:val="24"/>
              </w:rPr>
              <w:t>1</w:t>
            </w:r>
          </w:p>
        </w:tc>
        <w:tc>
          <w:tcPr>
            <w:tcW w:w="592" w:type="pct"/>
            <w:tcBorders>
              <w:top w:val="single" w:color="000000" w:sz="4" w:space="0"/>
              <w:left w:val="single" w:color="000000" w:sz="4" w:space="0"/>
              <w:bottom w:val="single" w:color="000000" w:sz="4" w:space="0"/>
              <w:right w:val="single" w:color="000000" w:sz="4" w:space="0"/>
            </w:tcBorders>
            <w:vAlign w:val="center"/>
          </w:tcPr>
          <w:p w14:paraId="01090E8E">
            <w:pPr>
              <w:rPr>
                <w:rFonts w:ascii="宋体" w:hAnsi="宋体" w:eastAsia="宋体" w:cs="宋体"/>
                <w:b/>
                <w:sz w:val="24"/>
              </w:rPr>
            </w:pPr>
          </w:p>
        </w:tc>
        <w:tc>
          <w:tcPr>
            <w:tcW w:w="592" w:type="pct"/>
            <w:gridSpan w:val="2"/>
            <w:tcBorders>
              <w:top w:val="single" w:color="000000" w:sz="4" w:space="0"/>
              <w:left w:val="single" w:color="000000" w:sz="4" w:space="0"/>
              <w:bottom w:val="single" w:color="000000" w:sz="4" w:space="0"/>
              <w:right w:val="single" w:color="000000" w:sz="4" w:space="0"/>
            </w:tcBorders>
            <w:vAlign w:val="center"/>
          </w:tcPr>
          <w:p w14:paraId="2D296FA4">
            <w:pPr>
              <w:rPr>
                <w:rFonts w:ascii="宋体" w:hAnsi="宋体" w:eastAsia="宋体" w:cs="宋体"/>
                <w:b/>
                <w:sz w:val="24"/>
              </w:rPr>
            </w:pPr>
          </w:p>
        </w:tc>
        <w:tc>
          <w:tcPr>
            <w:tcW w:w="643" w:type="pct"/>
            <w:gridSpan w:val="3"/>
            <w:tcBorders>
              <w:top w:val="single" w:color="000000" w:sz="4" w:space="0"/>
              <w:left w:val="single" w:color="000000" w:sz="4" w:space="0"/>
              <w:bottom w:val="single" w:color="000000" w:sz="4" w:space="0"/>
              <w:right w:val="single" w:color="000000" w:sz="4" w:space="0"/>
            </w:tcBorders>
            <w:vAlign w:val="center"/>
          </w:tcPr>
          <w:p w14:paraId="4C7D2C19">
            <w:pPr>
              <w:rPr>
                <w:rFonts w:ascii="宋体" w:hAnsi="宋体" w:eastAsia="宋体" w:cs="宋体"/>
                <w:b/>
                <w:sz w:val="24"/>
              </w:rPr>
            </w:pPr>
          </w:p>
        </w:tc>
        <w:tc>
          <w:tcPr>
            <w:tcW w:w="1105" w:type="pct"/>
            <w:gridSpan w:val="3"/>
            <w:tcBorders>
              <w:top w:val="single" w:color="000000" w:sz="4" w:space="0"/>
              <w:left w:val="single" w:color="000000" w:sz="4" w:space="0"/>
              <w:bottom w:val="single" w:color="000000" w:sz="4" w:space="0"/>
              <w:right w:val="single" w:color="000000" w:sz="4" w:space="0"/>
            </w:tcBorders>
            <w:vAlign w:val="center"/>
          </w:tcPr>
          <w:p w14:paraId="2626E4B2">
            <w:pPr>
              <w:rPr>
                <w:rFonts w:ascii="宋体" w:hAnsi="宋体" w:eastAsia="宋体" w:cs="宋体"/>
                <w:b/>
                <w:sz w:val="24"/>
              </w:rPr>
            </w:pPr>
          </w:p>
        </w:tc>
        <w:tc>
          <w:tcPr>
            <w:tcW w:w="629" w:type="pct"/>
            <w:gridSpan w:val="2"/>
            <w:tcBorders>
              <w:top w:val="single" w:color="000000" w:sz="4" w:space="0"/>
              <w:left w:val="single" w:color="000000" w:sz="4" w:space="0"/>
              <w:bottom w:val="single" w:color="000000" w:sz="4" w:space="0"/>
              <w:right w:val="single" w:color="auto" w:sz="4" w:space="0"/>
            </w:tcBorders>
            <w:vAlign w:val="center"/>
          </w:tcPr>
          <w:p w14:paraId="65BBBFBD">
            <w:pPr>
              <w:rPr>
                <w:rFonts w:ascii="宋体" w:hAnsi="宋体" w:eastAsia="宋体" w:cs="宋体"/>
                <w:b/>
                <w:sz w:val="24"/>
              </w:rPr>
            </w:pPr>
          </w:p>
        </w:tc>
        <w:tc>
          <w:tcPr>
            <w:tcW w:w="503" w:type="pct"/>
            <w:gridSpan w:val="3"/>
            <w:tcBorders>
              <w:top w:val="single" w:color="auto" w:sz="4" w:space="0"/>
              <w:left w:val="single" w:color="auto" w:sz="4" w:space="0"/>
              <w:bottom w:val="single" w:color="auto" w:sz="4" w:space="0"/>
              <w:right w:val="single" w:color="auto" w:sz="4" w:space="0"/>
            </w:tcBorders>
            <w:vAlign w:val="center"/>
          </w:tcPr>
          <w:p w14:paraId="0A2A1B0A">
            <w:pPr>
              <w:rPr>
                <w:rFonts w:ascii="宋体" w:hAnsi="宋体" w:eastAsia="宋体" w:cs="宋体"/>
                <w:b/>
                <w:sz w:val="24"/>
              </w:rPr>
            </w:pPr>
          </w:p>
        </w:tc>
        <w:tc>
          <w:tcPr>
            <w:tcW w:w="689" w:type="pct"/>
            <w:gridSpan w:val="2"/>
            <w:tcBorders>
              <w:top w:val="single" w:color="auto" w:sz="4" w:space="0"/>
              <w:left w:val="single" w:color="auto" w:sz="4" w:space="0"/>
              <w:bottom w:val="single" w:color="auto" w:sz="4" w:space="0"/>
              <w:right w:val="single" w:color="auto" w:sz="4" w:space="0"/>
            </w:tcBorders>
            <w:vAlign w:val="center"/>
          </w:tcPr>
          <w:p w14:paraId="7B807F0E">
            <w:pPr>
              <w:rPr>
                <w:rFonts w:ascii="宋体" w:hAnsi="宋体" w:eastAsia="宋体" w:cs="宋体"/>
                <w:b/>
                <w:sz w:val="24"/>
              </w:rPr>
            </w:pPr>
          </w:p>
        </w:tc>
      </w:tr>
      <w:tr w14:paraId="6DF0B6DD">
        <w:tblPrEx>
          <w:tblCellMar>
            <w:top w:w="0" w:type="dxa"/>
            <w:left w:w="108" w:type="dxa"/>
            <w:bottom w:w="0" w:type="dxa"/>
            <w:right w:w="108" w:type="dxa"/>
          </w:tblCellMar>
        </w:tblPrEx>
        <w:trPr>
          <w:trHeight w:val="585" w:hRule="atLeast"/>
          <w:jc w:val="center"/>
        </w:trPr>
        <w:tc>
          <w:tcPr>
            <w:tcW w:w="5000" w:type="pct"/>
            <w:gridSpan w:val="17"/>
            <w:tcBorders>
              <w:top w:val="single" w:color="000000" w:sz="4" w:space="0"/>
              <w:left w:val="single" w:color="000000" w:sz="4" w:space="0"/>
              <w:bottom w:val="single" w:color="000000" w:sz="4" w:space="0"/>
              <w:right w:val="single" w:color="auto" w:sz="4" w:space="0"/>
            </w:tcBorders>
            <w:vAlign w:val="center"/>
          </w:tcPr>
          <w:p w14:paraId="0AA58201">
            <w:pPr>
              <w:rPr>
                <w:rFonts w:ascii="宋体" w:hAnsi="宋体" w:eastAsia="宋体" w:cs="宋体"/>
                <w:b/>
                <w:sz w:val="24"/>
              </w:rPr>
            </w:pPr>
            <w:r>
              <w:rPr>
                <w:rFonts w:hint="eastAsia" w:ascii="宋体" w:hAnsi="宋体" w:eastAsia="宋体" w:cs="宋体"/>
                <w:b/>
                <w:sz w:val="24"/>
              </w:rPr>
              <w:t>报名总价金额：￥               万元；    大写：               万元整</w:t>
            </w:r>
          </w:p>
        </w:tc>
      </w:tr>
      <w:tr w14:paraId="6F09B8EF">
        <w:tblPrEx>
          <w:tblCellMar>
            <w:top w:w="0" w:type="dxa"/>
            <w:left w:w="108" w:type="dxa"/>
            <w:bottom w:w="0" w:type="dxa"/>
            <w:right w:w="108" w:type="dxa"/>
          </w:tblCellMar>
        </w:tblPrEx>
        <w:trPr>
          <w:trHeight w:val="640" w:hRule="atLeast"/>
          <w:jc w:val="center"/>
        </w:trPr>
        <w:tc>
          <w:tcPr>
            <w:tcW w:w="930" w:type="pct"/>
            <w:gridSpan w:val="3"/>
            <w:tcBorders>
              <w:top w:val="single" w:color="000000" w:sz="4" w:space="0"/>
              <w:left w:val="single" w:color="000000" w:sz="4" w:space="0"/>
              <w:bottom w:val="single" w:color="auto" w:sz="4" w:space="0"/>
              <w:right w:val="single" w:color="000000" w:sz="4" w:space="0"/>
            </w:tcBorders>
            <w:vAlign w:val="center"/>
          </w:tcPr>
          <w:p w14:paraId="191EEECE">
            <w:pPr>
              <w:rPr>
                <w:rFonts w:ascii="宋体" w:hAnsi="宋体" w:eastAsia="宋体" w:cs="宋体"/>
                <w:b/>
                <w:sz w:val="24"/>
              </w:rPr>
            </w:pPr>
            <w:r>
              <w:rPr>
                <w:rFonts w:hint="eastAsia" w:ascii="宋体" w:hAnsi="宋体" w:eastAsia="宋体" w:cs="宋体"/>
                <w:b/>
                <w:sz w:val="24"/>
              </w:rPr>
              <w:t>供应商联系人</w:t>
            </w:r>
          </w:p>
        </w:tc>
        <w:tc>
          <w:tcPr>
            <w:tcW w:w="1039" w:type="pct"/>
            <w:gridSpan w:val="3"/>
            <w:tcBorders>
              <w:top w:val="single" w:color="000000" w:sz="4" w:space="0"/>
              <w:left w:val="single" w:color="000000" w:sz="4" w:space="0"/>
              <w:bottom w:val="single" w:color="auto" w:sz="4" w:space="0"/>
              <w:right w:val="single" w:color="000000" w:sz="4" w:space="0"/>
            </w:tcBorders>
            <w:vAlign w:val="center"/>
          </w:tcPr>
          <w:p w14:paraId="1E9DC5F6">
            <w:pPr>
              <w:rPr>
                <w:rFonts w:ascii="宋体" w:hAnsi="宋体" w:eastAsia="宋体" w:cs="宋体"/>
                <w:b/>
                <w:sz w:val="24"/>
              </w:rPr>
            </w:pPr>
          </w:p>
        </w:tc>
        <w:tc>
          <w:tcPr>
            <w:tcW w:w="1857" w:type="pct"/>
            <w:gridSpan w:val="7"/>
            <w:tcBorders>
              <w:top w:val="single" w:color="000000" w:sz="4" w:space="0"/>
              <w:left w:val="single" w:color="000000" w:sz="4" w:space="0"/>
              <w:bottom w:val="single" w:color="auto" w:sz="4" w:space="0"/>
              <w:right w:val="single" w:color="000000" w:sz="4" w:space="0"/>
            </w:tcBorders>
            <w:vAlign w:val="center"/>
          </w:tcPr>
          <w:p w14:paraId="5ED94577">
            <w:pPr>
              <w:rPr>
                <w:rFonts w:ascii="宋体" w:hAnsi="宋体" w:eastAsia="宋体" w:cs="宋体"/>
                <w:b/>
                <w:sz w:val="24"/>
              </w:rPr>
            </w:pPr>
            <w:r>
              <w:rPr>
                <w:rFonts w:hint="eastAsia" w:ascii="宋体" w:hAnsi="宋体" w:eastAsia="宋体" w:cs="宋体"/>
                <w:b/>
                <w:sz w:val="24"/>
              </w:rPr>
              <w:t>联系人电话</w:t>
            </w:r>
          </w:p>
        </w:tc>
        <w:tc>
          <w:tcPr>
            <w:tcW w:w="1173" w:type="pct"/>
            <w:gridSpan w:val="4"/>
            <w:tcBorders>
              <w:top w:val="single" w:color="000000" w:sz="4" w:space="0"/>
              <w:left w:val="single" w:color="000000" w:sz="4" w:space="0"/>
              <w:bottom w:val="single" w:color="auto" w:sz="4" w:space="0"/>
              <w:right w:val="single" w:color="000000" w:sz="4" w:space="0"/>
            </w:tcBorders>
            <w:vAlign w:val="center"/>
          </w:tcPr>
          <w:p w14:paraId="6F1316A9">
            <w:pPr>
              <w:rPr>
                <w:rFonts w:ascii="宋体" w:hAnsi="宋体" w:eastAsia="宋体" w:cs="宋体"/>
                <w:b/>
                <w:sz w:val="24"/>
              </w:rPr>
            </w:pPr>
          </w:p>
        </w:tc>
      </w:tr>
      <w:tr w14:paraId="336FE9E0">
        <w:tblPrEx>
          <w:tblCellMar>
            <w:top w:w="0" w:type="dxa"/>
            <w:left w:w="108" w:type="dxa"/>
            <w:bottom w:w="0" w:type="dxa"/>
            <w:right w:w="108" w:type="dxa"/>
          </w:tblCellMar>
        </w:tblPrEx>
        <w:trPr>
          <w:trHeight w:val="640" w:hRule="atLeast"/>
          <w:jc w:val="center"/>
        </w:trPr>
        <w:tc>
          <w:tcPr>
            <w:tcW w:w="1969" w:type="pct"/>
            <w:gridSpan w:val="6"/>
            <w:tcBorders>
              <w:top w:val="single" w:color="000000" w:sz="4" w:space="0"/>
              <w:left w:val="single" w:color="000000" w:sz="4" w:space="0"/>
              <w:bottom w:val="single" w:color="auto" w:sz="4" w:space="0"/>
              <w:right w:val="single" w:color="000000" w:sz="4" w:space="0"/>
            </w:tcBorders>
            <w:vAlign w:val="center"/>
          </w:tcPr>
          <w:p w14:paraId="1E871F9C">
            <w:pPr>
              <w:rPr>
                <w:rFonts w:ascii="宋体" w:hAnsi="宋体" w:eastAsia="宋体" w:cs="宋体"/>
                <w:b/>
                <w:sz w:val="24"/>
              </w:rPr>
            </w:pPr>
            <w:r>
              <w:rPr>
                <w:rFonts w:hint="eastAsia" w:ascii="宋体" w:hAnsi="宋体" w:eastAsia="宋体" w:cs="宋体"/>
                <w:b/>
                <w:sz w:val="24"/>
              </w:rPr>
              <w:t>市场供给情况</w:t>
            </w:r>
          </w:p>
        </w:tc>
        <w:tc>
          <w:tcPr>
            <w:tcW w:w="3030" w:type="pct"/>
            <w:gridSpan w:val="11"/>
            <w:tcBorders>
              <w:top w:val="single" w:color="000000" w:sz="4" w:space="0"/>
              <w:left w:val="single" w:color="000000" w:sz="4" w:space="0"/>
              <w:bottom w:val="single" w:color="auto" w:sz="4" w:space="0"/>
              <w:right w:val="single" w:color="000000" w:sz="4" w:space="0"/>
            </w:tcBorders>
            <w:vAlign w:val="center"/>
          </w:tcPr>
          <w:p w14:paraId="6114ACDC">
            <w:pPr>
              <w:rPr>
                <w:rFonts w:ascii="宋体" w:hAnsi="宋体" w:eastAsia="宋体" w:cs="宋体"/>
                <w:b/>
                <w:sz w:val="24"/>
              </w:rPr>
            </w:pPr>
            <w:r>
              <w:rPr>
                <w:rFonts w:hint="eastAsia" w:ascii="宋体" w:hAnsi="宋体" w:eastAsia="宋体" w:cs="宋体"/>
                <w:b/>
                <w:sz w:val="24"/>
              </w:rPr>
              <w:t>（包括但不限于市场占有率、国内外同类竞争品牌等）</w:t>
            </w:r>
          </w:p>
        </w:tc>
      </w:tr>
      <w:tr w14:paraId="7A8C1697">
        <w:tblPrEx>
          <w:tblCellMar>
            <w:top w:w="0" w:type="dxa"/>
            <w:left w:w="108" w:type="dxa"/>
            <w:bottom w:w="0" w:type="dxa"/>
            <w:right w:w="108" w:type="dxa"/>
          </w:tblCellMar>
        </w:tblPrEx>
        <w:trPr>
          <w:trHeight w:val="640" w:hRule="atLeast"/>
          <w:jc w:val="center"/>
        </w:trPr>
        <w:tc>
          <w:tcPr>
            <w:tcW w:w="930" w:type="pct"/>
            <w:gridSpan w:val="3"/>
            <w:vMerge w:val="restart"/>
            <w:tcBorders>
              <w:top w:val="single" w:color="auto" w:sz="4" w:space="0"/>
              <w:left w:val="single" w:color="auto" w:sz="4" w:space="0"/>
              <w:bottom w:val="single" w:color="auto" w:sz="4" w:space="0"/>
              <w:right w:val="single" w:color="auto" w:sz="4" w:space="0"/>
            </w:tcBorders>
            <w:vAlign w:val="center"/>
          </w:tcPr>
          <w:p w14:paraId="15A82DCA">
            <w:pPr>
              <w:jc w:val="center"/>
              <w:rPr>
                <w:rFonts w:ascii="宋体" w:hAnsi="宋体" w:eastAsia="宋体" w:cs="宋体"/>
                <w:b/>
                <w:bCs/>
                <w:szCs w:val="21"/>
              </w:rPr>
            </w:pPr>
            <w:r>
              <w:rPr>
                <w:rFonts w:hint="eastAsia" w:ascii="宋体" w:hAnsi="宋体" w:eastAsia="宋体" w:cs="宋体"/>
                <w:b/>
                <w:bCs/>
                <w:szCs w:val="21"/>
              </w:rPr>
              <w:t>供应商近5年来同类项目历史成交情况（指：包含本项目采购标的的项目）</w:t>
            </w:r>
          </w:p>
          <w:p w14:paraId="180A34C1">
            <w:pPr>
              <w:jc w:val="center"/>
              <w:rPr>
                <w:rFonts w:ascii="宋体" w:hAnsi="宋体" w:eastAsia="宋体" w:cs="宋体"/>
                <w:b/>
                <w:sz w:val="24"/>
              </w:rPr>
            </w:pPr>
            <w:r>
              <w:rPr>
                <w:rFonts w:hint="eastAsia" w:ascii="宋体" w:hAnsi="宋体" w:eastAsia="宋体" w:cs="宋体"/>
                <w:b/>
                <w:bCs/>
                <w:szCs w:val="21"/>
              </w:rPr>
              <w:t>注：可增加行数（在附件提供证明材料</w:t>
            </w:r>
            <w:r>
              <w:rPr>
                <w:rFonts w:hint="eastAsia" w:ascii="宋体" w:hAnsi="宋体" w:eastAsia="宋体" w:cs="宋体"/>
                <w:b/>
                <w:bCs/>
                <w:szCs w:val="21"/>
                <w:lang w:val="en-US" w:eastAsia="zh-CN"/>
              </w:rPr>
              <w:t>：如合同扫描件</w:t>
            </w:r>
            <w:r>
              <w:rPr>
                <w:rFonts w:hint="eastAsia" w:ascii="宋体" w:hAnsi="宋体" w:eastAsia="宋体" w:cs="宋体"/>
                <w:b/>
                <w:bCs/>
                <w:szCs w:val="21"/>
              </w:rPr>
              <w:t>）</w:t>
            </w:r>
          </w:p>
        </w:tc>
        <w:tc>
          <w:tcPr>
            <w:tcW w:w="503" w:type="pct"/>
            <w:gridSpan w:val="2"/>
            <w:tcBorders>
              <w:top w:val="single" w:color="auto" w:sz="4" w:space="0"/>
              <w:left w:val="single" w:color="auto" w:sz="4" w:space="0"/>
              <w:bottom w:val="single" w:color="auto" w:sz="4" w:space="0"/>
              <w:right w:val="single" w:color="auto" w:sz="4" w:space="0"/>
            </w:tcBorders>
            <w:vAlign w:val="center"/>
          </w:tcPr>
          <w:p w14:paraId="6C0D1190">
            <w:pPr>
              <w:jc w:val="center"/>
              <w:rPr>
                <w:rFonts w:ascii="宋体" w:hAnsi="宋体" w:eastAsia="宋体" w:cs="宋体"/>
                <w:b/>
                <w:sz w:val="24"/>
              </w:rPr>
            </w:pPr>
            <w:r>
              <w:rPr>
                <w:rFonts w:hint="eastAsia" w:ascii="宋体" w:hAnsi="宋体" w:eastAsia="宋体" w:cs="宋体"/>
                <w:szCs w:val="21"/>
              </w:rPr>
              <w:t>合同履行时间</w:t>
            </w:r>
          </w:p>
        </w:tc>
        <w:tc>
          <w:tcPr>
            <w:tcW w:w="536" w:type="pct"/>
            <w:tcBorders>
              <w:top w:val="single" w:color="auto" w:sz="4" w:space="0"/>
              <w:left w:val="single" w:color="auto" w:sz="4" w:space="0"/>
              <w:bottom w:val="single" w:color="auto" w:sz="4" w:space="0"/>
              <w:right w:val="single" w:color="auto" w:sz="4" w:space="0"/>
            </w:tcBorders>
            <w:vAlign w:val="center"/>
          </w:tcPr>
          <w:p w14:paraId="71C4BC7F">
            <w:pPr>
              <w:jc w:val="center"/>
              <w:rPr>
                <w:rFonts w:ascii="宋体" w:hAnsi="宋体" w:eastAsia="宋体" w:cs="宋体"/>
                <w:b/>
                <w:sz w:val="24"/>
              </w:rPr>
            </w:pPr>
            <w:r>
              <w:rPr>
                <w:rFonts w:hint="eastAsia" w:ascii="宋体" w:hAnsi="宋体" w:eastAsia="宋体" w:cs="宋体"/>
                <w:szCs w:val="21"/>
              </w:rPr>
              <w:t>采购人</w:t>
            </w:r>
          </w:p>
        </w:tc>
        <w:tc>
          <w:tcPr>
            <w:tcW w:w="471" w:type="pct"/>
            <w:gridSpan w:val="2"/>
            <w:tcBorders>
              <w:top w:val="single" w:color="auto" w:sz="4" w:space="0"/>
              <w:left w:val="single" w:color="auto" w:sz="4" w:space="0"/>
              <w:bottom w:val="single" w:color="auto" w:sz="4" w:space="0"/>
              <w:right w:val="single" w:color="auto" w:sz="4" w:space="0"/>
            </w:tcBorders>
            <w:vAlign w:val="center"/>
          </w:tcPr>
          <w:p w14:paraId="36D093E8">
            <w:pPr>
              <w:jc w:val="center"/>
              <w:rPr>
                <w:rFonts w:ascii="宋体" w:hAnsi="宋体" w:eastAsia="宋体" w:cs="宋体"/>
                <w:szCs w:val="21"/>
              </w:rPr>
            </w:pPr>
            <w:r>
              <w:rPr>
                <w:rFonts w:hint="eastAsia" w:ascii="宋体" w:hAnsi="宋体" w:eastAsia="宋体" w:cs="宋体"/>
                <w:szCs w:val="21"/>
              </w:rPr>
              <w:t xml:space="preserve">合同项目名称 </w:t>
            </w:r>
          </w:p>
        </w:tc>
        <w:tc>
          <w:tcPr>
            <w:tcW w:w="503" w:type="pct"/>
            <w:tcBorders>
              <w:top w:val="single" w:color="auto" w:sz="4" w:space="0"/>
              <w:left w:val="single" w:color="auto" w:sz="4" w:space="0"/>
              <w:bottom w:val="single" w:color="auto" w:sz="4" w:space="0"/>
              <w:right w:val="single" w:color="auto" w:sz="4" w:space="0"/>
            </w:tcBorders>
            <w:vAlign w:val="center"/>
          </w:tcPr>
          <w:p w14:paraId="781A7A44">
            <w:pPr>
              <w:jc w:val="center"/>
              <w:rPr>
                <w:rFonts w:ascii="宋体" w:hAnsi="宋体" w:eastAsia="宋体" w:cs="宋体"/>
                <w:szCs w:val="21"/>
              </w:rPr>
            </w:pPr>
            <w:r>
              <w:rPr>
                <w:rFonts w:hint="eastAsia" w:ascii="宋体" w:hAnsi="宋体" w:eastAsia="宋体" w:cs="宋体"/>
                <w:szCs w:val="21"/>
              </w:rPr>
              <w:t>合同主要标的名称</w:t>
            </w:r>
          </w:p>
        </w:tc>
        <w:tc>
          <w:tcPr>
            <w:tcW w:w="503" w:type="pct"/>
            <w:gridSpan w:val="2"/>
            <w:tcBorders>
              <w:top w:val="single" w:color="auto" w:sz="4" w:space="0"/>
              <w:left w:val="single" w:color="auto" w:sz="4" w:space="0"/>
              <w:bottom w:val="single" w:color="auto" w:sz="4" w:space="0"/>
              <w:right w:val="single" w:color="auto" w:sz="4" w:space="0"/>
            </w:tcBorders>
            <w:vAlign w:val="center"/>
          </w:tcPr>
          <w:p w14:paraId="193AB441">
            <w:pPr>
              <w:jc w:val="center"/>
              <w:rPr>
                <w:rFonts w:ascii="宋体" w:hAnsi="宋体" w:eastAsia="宋体" w:cs="宋体"/>
                <w:szCs w:val="21"/>
              </w:rPr>
            </w:pPr>
            <w:r>
              <w:rPr>
                <w:rFonts w:hint="eastAsia" w:ascii="宋体" w:hAnsi="宋体" w:eastAsia="宋体" w:cs="宋体"/>
                <w:szCs w:val="21"/>
              </w:rPr>
              <w:t>合同标的数量</w:t>
            </w:r>
          </w:p>
        </w:tc>
        <w:tc>
          <w:tcPr>
            <w:tcW w:w="517" w:type="pct"/>
            <w:gridSpan w:val="3"/>
            <w:tcBorders>
              <w:top w:val="single" w:color="auto" w:sz="4" w:space="0"/>
              <w:left w:val="single" w:color="auto" w:sz="4" w:space="0"/>
              <w:bottom w:val="single" w:color="auto" w:sz="4" w:space="0"/>
              <w:right w:val="single" w:color="auto" w:sz="4" w:space="0"/>
            </w:tcBorders>
            <w:vAlign w:val="center"/>
          </w:tcPr>
          <w:p w14:paraId="37740B2D">
            <w:pPr>
              <w:jc w:val="center"/>
              <w:rPr>
                <w:rFonts w:ascii="宋体" w:hAnsi="宋体" w:eastAsia="宋体" w:cs="宋体"/>
                <w:szCs w:val="21"/>
              </w:rPr>
            </w:pPr>
            <w:r>
              <w:rPr>
                <w:rFonts w:hint="eastAsia" w:ascii="宋体" w:hAnsi="宋体" w:eastAsia="宋体" w:cs="宋体"/>
                <w:szCs w:val="21"/>
              </w:rPr>
              <w:t>合同价</w:t>
            </w:r>
          </w:p>
          <w:p w14:paraId="1C86D9C7">
            <w:pPr>
              <w:jc w:val="center"/>
              <w:rPr>
                <w:rFonts w:ascii="宋体" w:hAnsi="宋体" w:eastAsia="宋体" w:cs="宋体"/>
                <w:szCs w:val="21"/>
              </w:rPr>
            </w:pPr>
            <w:r>
              <w:rPr>
                <w:rFonts w:hint="eastAsia" w:ascii="宋体" w:hAnsi="宋体" w:eastAsia="宋体" w:cs="宋体"/>
                <w:szCs w:val="21"/>
              </w:rPr>
              <w:t>（单价）</w:t>
            </w:r>
          </w:p>
        </w:tc>
        <w:tc>
          <w:tcPr>
            <w:tcW w:w="503" w:type="pct"/>
            <w:gridSpan w:val="2"/>
            <w:tcBorders>
              <w:top w:val="single" w:color="auto" w:sz="4" w:space="0"/>
              <w:left w:val="single" w:color="auto" w:sz="4" w:space="0"/>
              <w:bottom w:val="single" w:color="auto" w:sz="4" w:space="0"/>
              <w:right w:val="single" w:color="auto" w:sz="4" w:space="0"/>
            </w:tcBorders>
            <w:vAlign w:val="center"/>
          </w:tcPr>
          <w:p w14:paraId="0BF152C0">
            <w:pPr>
              <w:jc w:val="center"/>
              <w:rPr>
                <w:rFonts w:ascii="宋体" w:hAnsi="宋体" w:eastAsia="宋体" w:cs="宋体"/>
                <w:szCs w:val="21"/>
              </w:rPr>
            </w:pPr>
            <w:r>
              <w:rPr>
                <w:rFonts w:hint="eastAsia" w:ascii="宋体" w:hAnsi="宋体" w:eastAsia="宋体" w:cs="宋体"/>
                <w:szCs w:val="21"/>
              </w:rPr>
              <w:t>合同价</w:t>
            </w:r>
          </w:p>
          <w:p w14:paraId="5D08AB85">
            <w:pPr>
              <w:jc w:val="center"/>
              <w:rPr>
                <w:rFonts w:ascii="宋体" w:hAnsi="宋体" w:eastAsia="宋体" w:cs="宋体"/>
                <w:szCs w:val="21"/>
              </w:rPr>
            </w:pPr>
            <w:r>
              <w:rPr>
                <w:rFonts w:hint="eastAsia" w:ascii="宋体" w:hAnsi="宋体" w:eastAsia="宋体" w:cs="宋体"/>
                <w:szCs w:val="21"/>
              </w:rPr>
              <w:t>（总价）</w:t>
            </w:r>
          </w:p>
        </w:tc>
        <w:tc>
          <w:tcPr>
            <w:tcW w:w="532" w:type="pct"/>
            <w:tcBorders>
              <w:top w:val="single" w:color="auto" w:sz="4" w:space="0"/>
              <w:left w:val="single" w:color="auto" w:sz="4" w:space="0"/>
              <w:bottom w:val="single" w:color="auto" w:sz="4" w:space="0"/>
              <w:right w:val="single" w:color="auto" w:sz="4" w:space="0"/>
            </w:tcBorders>
            <w:vAlign w:val="center"/>
          </w:tcPr>
          <w:p w14:paraId="7DE390DD">
            <w:pPr>
              <w:jc w:val="center"/>
              <w:rPr>
                <w:rFonts w:ascii="宋体" w:hAnsi="宋体" w:eastAsia="宋体" w:cs="宋体"/>
                <w:szCs w:val="21"/>
              </w:rPr>
            </w:pPr>
            <w:r>
              <w:rPr>
                <w:rFonts w:hint="eastAsia" w:ascii="宋体" w:hAnsi="宋体" w:eastAsia="宋体" w:cs="宋体"/>
                <w:szCs w:val="21"/>
              </w:rPr>
              <w:t>中标公告链接（如有）</w:t>
            </w:r>
          </w:p>
        </w:tc>
      </w:tr>
      <w:tr w14:paraId="783CE57F">
        <w:tblPrEx>
          <w:tblCellMar>
            <w:top w:w="0" w:type="dxa"/>
            <w:left w:w="108" w:type="dxa"/>
            <w:bottom w:w="0" w:type="dxa"/>
            <w:right w:w="108" w:type="dxa"/>
          </w:tblCellMar>
        </w:tblPrEx>
        <w:trPr>
          <w:trHeight w:val="640" w:hRule="atLeast"/>
          <w:jc w:val="center"/>
        </w:trPr>
        <w:tc>
          <w:tcPr>
            <w:tcW w:w="930" w:type="pct"/>
            <w:gridSpan w:val="3"/>
            <w:vMerge w:val="continue"/>
            <w:tcBorders>
              <w:top w:val="single" w:color="auto" w:sz="4" w:space="0"/>
              <w:left w:val="single" w:color="auto" w:sz="4" w:space="0"/>
              <w:bottom w:val="single" w:color="auto" w:sz="4" w:space="0"/>
              <w:right w:val="single" w:color="auto" w:sz="4" w:space="0"/>
            </w:tcBorders>
            <w:vAlign w:val="center"/>
          </w:tcPr>
          <w:p w14:paraId="152B03ED">
            <w:pPr>
              <w:jc w:val="center"/>
              <w:rPr>
                <w:rFonts w:ascii="宋体" w:hAnsi="宋体" w:eastAsia="宋体" w:cs="宋体"/>
                <w:b/>
                <w:bCs/>
                <w:szCs w:val="21"/>
              </w:rPr>
            </w:pPr>
          </w:p>
        </w:tc>
        <w:tc>
          <w:tcPr>
            <w:tcW w:w="503" w:type="pct"/>
            <w:gridSpan w:val="2"/>
            <w:tcBorders>
              <w:top w:val="single" w:color="auto" w:sz="4" w:space="0"/>
              <w:left w:val="single" w:color="auto" w:sz="4" w:space="0"/>
              <w:bottom w:val="single" w:color="auto" w:sz="4" w:space="0"/>
              <w:right w:val="single" w:color="auto" w:sz="4" w:space="0"/>
            </w:tcBorders>
            <w:vAlign w:val="center"/>
          </w:tcPr>
          <w:p w14:paraId="0FCAA804">
            <w:pPr>
              <w:jc w:val="center"/>
              <w:rPr>
                <w:rFonts w:ascii="宋体" w:hAnsi="宋体" w:eastAsia="宋体" w:cs="宋体"/>
                <w:szCs w:val="21"/>
              </w:rPr>
            </w:pPr>
          </w:p>
        </w:tc>
        <w:tc>
          <w:tcPr>
            <w:tcW w:w="536" w:type="pct"/>
            <w:tcBorders>
              <w:top w:val="single" w:color="auto" w:sz="4" w:space="0"/>
              <w:left w:val="single" w:color="auto" w:sz="4" w:space="0"/>
              <w:bottom w:val="single" w:color="auto" w:sz="4" w:space="0"/>
              <w:right w:val="single" w:color="auto" w:sz="4" w:space="0"/>
            </w:tcBorders>
            <w:vAlign w:val="center"/>
          </w:tcPr>
          <w:p w14:paraId="1B1135BC">
            <w:pPr>
              <w:jc w:val="center"/>
              <w:rPr>
                <w:rFonts w:ascii="宋体" w:hAnsi="宋体" w:eastAsia="宋体" w:cs="宋体"/>
                <w:szCs w:val="21"/>
              </w:rPr>
            </w:pPr>
          </w:p>
        </w:tc>
        <w:tc>
          <w:tcPr>
            <w:tcW w:w="471" w:type="pct"/>
            <w:gridSpan w:val="2"/>
            <w:tcBorders>
              <w:top w:val="single" w:color="auto" w:sz="4" w:space="0"/>
              <w:left w:val="single" w:color="auto" w:sz="4" w:space="0"/>
              <w:bottom w:val="single" w:color="auto" w:sz="4" w:space="0"/>
              <w:right w:val="single" w:color="auto" w:sz="4" w:space="0"/>
            </w:tcBorders>
            <w:vAlign w:val="center"/>
          </w:tcPr>
          <w:p w14:paraId="66A0E10E">
            <w:pPr>
              <w:jc w:val="center"/>
              <w:rPr>
                <w:rFonts w:ascii="宋体" w:hAnsi="宋体" w:eastAsia="宋体" w:cs="宋体"/>
                <w:szCs w:val="21"/>
              </w:rPr>
            </w:pPr>
          </w:p>
        </w:tc>
        <w:tc>
          <w:tcPr>
            <w:tcW w:w="503" w:type="pct"/>
            <w:tcBorders>
              <w:top w:val="single" w:color="auto" w:sz="4" w:space="0"/>
              <w:left w:val="single" w:color="auto" w:sz="4" w:space="0"/>
              <w:bottom w:val="single" w:color="auto" w:sz="4" w:space="0"/>
              <w:right w:val="single" w:color="auto" w:sz="4" w:space="0"/>
            </w:tcBorders>
            <w:vAlign w:val="center"/>
          </w:tcPr>
          <w:p w14:paraId="378748DF">
            <w:pPr>
              <w:jc w:val="center"/>
              <w:rPr>
                <w:rFonts w:ascii="宋体" w:hAnsi="宋体" w:eastAsia="宋体" w:cs="宋体"/>
                <w:szCs w:val="21"/>
              </w:rPr>
            </w:pPr>
          </w:p>
        </w:tc>
        <w:tc>
          <w:tcPr>
            <w:tcW w:w="503" w:type="pct"/>
            <w:gridSpan w:val="2"/>
            <w:tcBorders>
              <w:top w:val="single" w:color="auto" w:sz="4" w:space="0"/>
              <w:left w:val="single" w:color="auto" w:sz="4" w:space="0"/>
              <w:bottom w:val="single" w:color="auto" w:sz="4" w:space="0"/>
              <w:right w:val="single" w:color="auto" w:sz="4" w:space="0"/>
            </w:tcBorders>
            <w:vAlign w:val="center"/>
          </w:tcPr>
          <w:p w14:paraId="2D7042A1">
            <w:pPr>
              <w:jc w:val="center"/>
              <w:rPr>
                <w:rFonts w:ascii="宋体" w:hAnsi="宋体" w:eastAsia="宋体" w:cs="宋体"/>
                <w:szCs w:val="21"/>
              </w:rPr>
            </w:pPr>
          </w:p>
        </w:tc>
        <w:tc>
          <w:tcPr>
            <w:tcW w:w="517" w:type="pct"/>
            <w:gridSpan w:val="3"/>
            <w:tcBorders>
              <w:top w:val="single" w:color="auto" w:sz="4" w:space="0"/>
              <w:left w:val="single" w:color="auto" w:sz="4" w:space="0"/>
              <w:bottom w:val="single" w:color="auto" w:sz="4" w:space="0"/>
              <w:right w:val="single" w:color="auto" w:sz="4" w:space="0"/>
            </w:tcBorders>
            <w:vAlign w:val="center"/>
          </w:tcPr>
          <w:p w14:paraId="7895F144">
            <w:pPr>
              <w:jc w:val="center"/>
              <w:rPr>
                <w:rFonts w:ascii="宋体" w:hAnsi="宋体" w:eastAsia="宋体" w:cs="宋体"/>
                <w:szCs w:val="21"/>
              </w:rPr>
            </w:pPr>
          </w:p>
        </w:tc>
        <w:tc>
          <w:tcPr>
            <w:tcW w:w="503" w:type="pct"/>
            <w:gridSpan w:val="2"/>
            <w:tcBorders>
              <w:top w:val="single" w:color="auto" w:sz="4" w:space="0"/>
              <w:left w:val="single" w:color="auto" w:sz="4" w:space="0"/>
              <w:bottom w:val="single" w:color="auto" w:sz="4" w:space="0"/>
              <w:right w:val="single" w:color="auto" w:sz="4" w:space="0"/>
            </w:tcBorders>
            <w:vAlign w:val="center"/>
          </w:tcPr>
          <w:p w14:paraId="35812698">
            <w:pPr>
              <w:jc w:val="center"/>
              <w:rPr>
                <w:rFonts w:ascii="宋体" w:hAnsi="宋体" w:eastAsia="宋体" w:cs="宋体"/>
                <w:szCs w:val="21"/>
              </w:rPr>
            </w:pPr>
          </w:p>
        </w:tc>
        <w:tc>
          <w:tcPr>
            <w:tcW w:w="532" w:type="pct"/>
            <w:tcBorders>
              <w:top w:val="single" w:color="auto" w:sz="4" w:space="0"/>
              <w:left w:val="single" w:color="auto" w:sz="4" w:space="0"/>
              <w:bottom w:val="single" w:color="auto" w:sz="4" w:space="0"/>
              <w:right w:val="single" w:color="auto" w:sz="4" w:space="0"/>
            </w:tcBorders>
            <w:vAlign w:val="center"/>
          </w:tcPr>
          <w:p w14:paraId="14C75341">
            <w:pPr>
              <w:jc w:val="center"/>
              <w:rPr>
                <w:rFonts w:ascii="宋体" w:hAnsi="宋体" w:eastAsia="宋体" w:cs="宋体"/>
                <w:szCs w:val="21"/>
              </w:rPr>
            </w:pPr>
          </w:p>
        </w:tc>
      </w:tr>
      <w:tr w14:paraId="7254C8AB">
        <w:tblPrEx>
          <w:tblCellMar>
            <w:top w:w="0" w:type="dxa"/>
            <w:left w:w="108" w:type="dxa"/>
            <w:bottom w:w="0" w:type="dxa"/>
            <w:right w:w="108" w:type="dxa"/>
          </w:tblCellMar>
        </w:tblPrEx>
        <w:trPr>
          <w:trHeight w:val="640" w:hRule="atLeast"/>
          <w:jc w:val="center"/>
        </w:trPr>
        <w:tc>
          <w:tcPr>
            <w:tcW w:w="930" w:type="pct"/>
            <w:gridSpan w:val="3"/>
            <w:vMerge w:val="continue"/>
            <w:tcBorders>
              <w:top w:val="single" w:color="auto" w:sz="4" w:space="0"/>
              <w:left w:val="single" w:color="auto" w:sz="4" w:space="0"/>
              <w:bottom w:val="single" w:color="auto" w:sz="4" w:space="0"/>
              <w:right w:val="single" w:color="auto" w:sz="4" w:space="0"/>
            </w:tcBorders>
            <w:vAlign w:val="center"/>
          </w:tcPr>
          <w:p w14:paraId="2C0EF0EA">
            <w:pPr>
              <w:jc w:val="center"/>
              <w:rPr>
                <w:rFonts w:ascii="宋体" w:hAnsi="宋体" w:eastAsia="宋体" w:cs="宋体"/>
                <w:b/>
                <w:bCs/>
                <w:szCs w:val="21"/>
              </w:rPr>
            </w:pPr>
          </w:p>
        </w:tc>
        <w:tc>
          <w:tcPr>
            <w:tcW w:w="503" w:type="pct"/>
            <w:gridSpan w:val="2"/>
            <w:tcBorders>
              <w:top w:val="single" w:color="auto" w:sz="4" w:space="0"/>
              <w:left w:val="single" w:color="auto" w:sz="4" w:space="0"/>
              <w:bottom w:val="single" w:color="auto" w:sz="4" w:space="0"/>
              <w:right w:val="single" w:color="auto" w:sz="4" w:space="0"/>
            </w:tcBorders>
            <w:vAlign w:val="center"/>
          </w:tcPr>
          <w:p w14:paraId="5A0F0612">
            <w:pPr>
              <w:jc w:val="center"/>
              <w:rPr>
                <w:rFonts w:ascii="宋体" w:hAnsi="宋体" w:eastAsia="宋体" w:cs="宋体"/>
                <w:szCs w:val="21"/>
              </w:rPr>
            </w:pPr>
          </w:p>
        </w:tc>
        <w:tc>
          <w:tcPr>
            <w:tcW w:w="536" w:type="pct"/>
            <w:tcBorders>
              <w:top w:val="single" w:color="auto" w:sz="4" w:space="0"/>
              <w:left w:val="single" w:color="auto" w:sz="4" w:space="0"/>
              <w:bottom w:val="single" w:color="auto" w:sz="4" w:space="0"/>
              <w:right w:val="single" w:color="auto" w:sz="4" w:space="0"/>
            </w:tcBorders>
            <w:vAlign w:val="center"/>
          </w:tcPr>
          <w:p w14:paraId="131EAFDB">
            <w:pPr>
              <w:jc w:val="center"/>
              <w:rPr>
                <w:rFonts w:ascii="宋体" w:hAnsi="宋体" w:eastAsia="宋体" w:cs="宋体"/>
                <w:szCs w:val="21"/>
              </w:rPr>
            </w:pPr>
          </w:p>
        </w:tc>
        <w:tc>
          <w:tcPr>
            <w:tcW w:w="471" w:type="pct"/>
            <w:gridSpan w:val="2"/>
            <w:tcBorders>
              <w:top w:val="single" w:color="auto" w:sz="4" w:space="0"/>
              <w:left w:val="single" w:color="auto" w:sz="4" w:space="0"/>
              <w:bottom w:val="single" w:color="auto" w:sz="4" w:space="0"/>
              <w:right w:val="single" w:color="auto" w:sz="4" w:space="0"/>
            </w:tcBorders>
            <w:vAlign w:val="center"/>
          </w:tcPr>
          <w:p w14:paraId="5E0C5166">
            <w:pPr>
              <w:jc w:val="center"/>
              <w:rPr>
                <w:rFonts w:ascii="宋体" w:hAnsi="宋体" w:eastAsia="宋体" w:cs="宋体"/>
                <w:szCs w:val="21"/>
              </w:rPr>
            </w:pPr>
          </w:p>
        </w:tc>
        <w:tc>
          <w:tcPr>
            <w:tcW w:w="503" w:type="pct"/>
            <w:tcBorders>
              <w:top w:val="single" w:color="auto" w:sz="4" w:space="0"/>
              <w:left w:val="single" w:color="auto" w:sz="4" w:space="0"/>
              <w:bottom w:val="single" w:color="auto" w:sz="4" w:space="0"/>
              <w:right w:val="single" w:color="auto" w:sz="4" w:space="0"/>
            </w:tcBorders>
            <w:vAlign w:val="center"/>
          </w:tcPr>
          <w:p w14:paraId="4E0A2E62">
            <w:pPr>
              <w:jc w:val="center"/>
              <w:rPr>
                <w:rFonts w:ascii="宋体" w:hAnsi="宋体" w:eastAsia="宋体" w:cs="宋体"/>
                <w:szCs w:val="21"/>
              </w:rPr>
            </w:pPr>
          </w:p>
        </w:tc>
        <w:tc>
          <w:tcPr>
            <w:tcW w:w="503" w:type="pct"/>
            <w:gridSpan w:val="2"/>
            <w:tcBorders>
              <w:top w:val="single" w:color="auto" w:sz="4" w:space="0"/>
              <w:left w:val="single" w:color="auto" w:sz="4" w:space="0"/>
              <w:bottom w:val="single" w:color="auto" w:sz="4" w:space="0"/>
              <w:right w:val="single" w:color="auto" w:sz="4" w:space="0"/>
            </w:tcBorders>
            <w:vAlign w:val="center"/>
          </w:tcPr>
          <w:p w14:paraId="39DFA368">
            <w:pPr>
              <w:jc w:val="center"/>
              <w:rPr>
                <w:rFonts w:ascii="宋体" w:hAnsi="宋体" w:eastAsia="宋体" w:cs="宋体"/>
                <w:szCs w:val="21"/>
              </w:rPr>
            </w:pPr>
          </w:p>
        </w:tc>
        <w:tc>
          <w:tcPr>
            <w:tcW w:w="517" w:type="pct"/>
            <w:gridSpan w:val="3"/>
            <w:tcBorders>
              <w:top w:val="single" w:color="auto" w:sz="4" w:space="0"/>
              <w:left w:val="single" w:color="auto" w:sz="4" w:space="0"/>
              <w:bottom w:val="single" w:color="auto" w:sz="4" w:space="0"/>
              <w:right w:val="single" w:color="auto" w:sz="4" w:space="0"/>
            </w:tcBorders>
            <w:vAlign w:val="center"/>
          </w:tcPr>
          <w:p w14:paraId="41FC7DA6">
            <w:pPr>
              <w:jc w:val="center"/>
              <w:rPr>
                <w:rFonts w:ascii="宋体" w:hAnsi="宋体" w:eastAsia="宋体" w:cs="宋体"/>
                <w:szCs w:val="21"/>
              </w:rPr>
            </w:pPr>
          </w:p>
        </w:tc>
        <w:tc>
          <w:tcPr>
            <w:tcW w:w="503" w:type="pct"/>
            <w:gridSpan w:val="2"/>
            <w:tcBorders>
              <w:top w:val="single" w:color="auto" w:sz="4" w:space="0"/>
              <w:left w:val="single" w:color="auto" w:sz="4" w:space="0"/>
              <w:bottom w:val="single" w:color="auto" w:sz="4" w:space="0"/>
              <w:right w:val="single" w:color="auto" w:sz="4" w:space="0"/>
            </w:tcBorders>
            <w:vAlign w:val="center"/>
          </w:tcPr>
          <w:p w14:paraId="13B4EC24">
            <w:pPr>
              <w:jc w:val="center"/>
              <w:rPr>
                <w:rFonts w:ascii="宋体" w:hAnsi="宋体" w:eastAsia="宋体" w:cs="宋体"/>
                <w:szCs w:val="21"/>
              </w:rPr>
            </w:pPr>
          </w:p>
        </w:tc>
        <w:tc>
          <w:tcPr>
            <w:tcW w:w="532" w:type="pct"/>
            <w:tcBorders>
              <w:top w:val="single" w:color="auto" w:sz="4" w:space="0"/>
              <w:left w:val="single" w:color="auto" w:sz="4" w:space="0"/>
              <w:bottom w:val="single" w:color="auto" w:sz="4" w:space="0"/>
              <w:right w:val="single" w:color="auto" w:sz="4" w:space="0"/>
            </w:tcBorders>
            <w:vAlign w:val="center"/>
          </w:tcPr>
          <w:p w14:paraId="5FAFEE02">
            <w:pPr>
              <w:jc w:val="center"/>
              <w:rPr>
                <w:rFonts w:ascii="宋体" w:hAnsi="宋体" w:eastAsia="宋体" w:cs="宋体"/>
                <w:szCs w:val="21"/>
              </w:rPr>
            </w:pPr>
          </w:p>
        </w:tc>
      </w:tr>
      <w:tr w14:paraId="17B7DEBE">
        <w:tblPrEx>
          <w:tblCellMar>
            <w:top w:w="0" w:type="dxa"/>
            <w:left w:w="108" w:type="dxa"/>
            <w:bottom w:w="0" w:type="dxa"/>
            <w:right w:w="108" w:type="dxa"/>
          </w:tblCellMar>
        </w:tblPrEx>
        <w:trPr>
          <w:trHeight w:val="640" w:hRule="atLeast"/>
          <w:jc w:val="center"/>
        </w:trPr>
        <w:tc>
          <w:tcPr>
            <w:tcW w:w="930" w:type="pct"/>
            <w:gridSpan w:val="3"/>
            <w:vMerge w:val="continue"/>
            <w:tcBorders>
              <w:top w:val="single" w:color="auto" w:sz="4" w:space="0"/>
              <w:left w:val="single" w:color="auto" w:sz="4" w:space="0"/>
              <w:bottom w:val="single" w:color="auto" w:sz="4" w:space="0"/>
              <w:right w:val="single" w:color="auto" w:sz="4" w:space="0"/>
            </w:tcBorders>
            <w:vAlign w:val="center"/>
          </w:tcPr>
          <w:p w14:paraId="431FEFA1">
            <w:pPr>
              <w:jc w:val="center"/>
              <w:rPr>
                <w:rFonts w:ascii="宋体" w:hAnsi="宋体" w:eastAsia="宋体" w:cs="宋体"/>
                <w:b/>
                <w:bCs/>
                <w:szCs w:val="21"/>
              </w:rPr>
            </w:pPr>
          </w:p>
        </w:tc>
        <w:tc>
          <w:tcPr>
            <w:tcW w:w="503" w:type="pct"/>
            <w:gridSpan w:val="2"/>
            <w:tcBorders>
              <w:top w:val="single" w:color="auto" w:sz="4" w:space="0"/>
              <w:left w:val="single" w:color="auto" w:sz="4" w:space="0"/>
              <w:bottom w:val="single" w:color="auto" w:sz="4" w:space="0"/>
              <w:right w:val="single" w:color="auto" w:sz="4" w:space="0"/>
            </w:tcBorders>
            <w:vAlign w:val="center"/>
          </w:tcPr>
          <w:p w14:paraId="7DB6CEFB">
            <w:pPr>
              <w:jc w:val="center"/>
              <w:rPr>
                <w:rFonts w:ascii="宋体" w:hAnsi="宋体" w:eastAsia="宋体" w:cs="宋体"/>
                <w:szCs w:val="21"/>
              </w:rPr>
            </w:pPr>
          </w:p>
        </w:tc>
        <w:tc>
          <w:tcPr>
            <w:tcW w:w="536" w:type="pct"/>
            <w:tcBorders>
              <w:top w:val="single" w:color="auto" w:sz="4" w:space="0"/>
              <w:left w:val="single" w:color="auto" w:sz="4" w:space="0"/>
              <w:bottom w:val="single" w:color="auto" w:sz="4" w:space="0"/>
              <w:right w:val="single" w:color="auto" w:sz="4" w:space="0"/>
            </w:tcBorders>
            <w:vAlign w:val="center"/>
          </w:tcPr>
          <w:p w14:paraId="3D5B66A5">
            <w:pPr>
              <w:jc w:val="center"/>
              <w:rPr>
                <w:rFonts w:ascii="宋体" w:hAnsi="宋体" w:eastAsia="宋体" w:cs="宋体"/>
                <w:szCs w:val="21"/>
              </w:rPr>
            </w:pPr>
          </w:p>
        </w:tc>
        <w:tc>
          <w:tcPr>
            <w:tcW w:w="471" w:type="pct"/>
            <w:gridSpan w:val="2"/>
            <w:tcBorders>
              <w:top w:val="single" w:color="auto" w:sz="4" w:space="0"/>
              <w:left w:val="single" w:color="auto" w:sz="4" w:space="0"/>
              <w:bottom w:val="single" w:color="auto" w:sz="4" w:space="0"/>
              <w:right w:val="single" w:color="auto" w:sz="4" w:space="0"/>
            </w:tcBorders>
            <w:vAlign w:val="center"/>
          </w:tcPr>
          <w:p w14:paraId="1EDC14C4">
            <w:pPr>
              <w:jc w:val="center"/>
              <w:rPr>
                <w:rFonts w:ascii="宋体" w:hAnsi="宋体" w:eastAsia="宋体" w:cs="宋体"/>
                <w:szCs w:val="21"/>
              </w:rPr>
            </w:pPr>
          </w:p>
        </w:tc>
        <w:tc>
          <w:tcPr>
            <w:tcW w:w="503" w:type="pct"/>
            <w:tcBorders>
              <w:top w:val="single" w:color="auto" w:sz="4" w:space="0"/>
              <w:left w:val="single" w:color="auto" w:sz="4" w:space="0"/>
              <w:bottom w:val="single" w:color="auto" w:sz="4" w:space="0"/>
              <w:right w:val="single" w:color="auto" w:sz="4" w:space="0"/>
            </w:tcBorders>
            <w:vAlign w:val="center"/>
          </w:tcPr>
          <w:p w14:paraId="73AD6A32">
            <w:pPr>
              <w:jc w:val="center"/>
              <w:rPr>
                <w:rFonts w:ascii="宋体" w:hAnsi="宋体" w:eastAsia="宋体" w:cs="宋体"/>
                <w:szCs w:val="21"/>
              </w:rPr>
            </w:pPr>
          </w:p>
        </w:tc>
        <w:tc>
          <w:tcPr>
            <w:tcW w:w="503" w:type="pct"/>
            <w:gridSpan w:val="2"/>
            <w:tcBorders>
              <w:top w:val="single" w:color="auto" w:sz="4" w:space="0"/>
              <w:left w:val="single" w:color="auto" w:sz="4" w:space="0"/>
              <w:bottom w:val="single" w:color="auto" w:sz="4" w:space="0"/>
              <w:right w:val="single" w:color="auto" w:sz="4" w:space="0"/>
            </w:tcBorders>
            <w:vAlign w:val="center"/>
          </w:tcPr>
          <w:p w14:paraId="698A4610">
            <w:pPr>
              <w:jc w:val="center"/>
              <w:rPr>
                <w:rFonts w:ascii="宋体" w:hAnsi="宋体" w:eastAsia="宋体" w:cs="宋体"/>
                <w:szCs w:val="21"/>
              </w:rPr>
            </w:pPr>
          </w:p>
        </w:tc>
        <w:tc>
          <w:tcPr>
            <w:tcW w:w="517" w:type="pct"/>
            <w:gridSpan w:val="3"/>
            <w:tcBorders>
              <w:top w:val="single" w:color="auto" w:sz="4" w:space="0"/>
              <w:left w:val="single" w:color="auto" w:sz="4" w:space="0"/>
              <w:bottom w:val="single" w:color="auto" w:sz="4" w:space="0"/>
              <w:right w:val="single" w:color="auto" w:sz="4" w:space="0"/>
            </w:tcBorders>
            <w:vAlign w:val="center"/>
          </w:tcPr>
          <w:p w14:paraId="57AAFD9E">
            <w:pPr>
              <w:jc w:val="center"/>
              <w:rPr>
                <w:rFonts w:ascii="宋体" w:hAnsi="宋体" w:eastAsia="宋体" w:cs="宋体"/>
                <w:szCs w:val="21"/>
              </w:rPr>
            </w:pPr>
          </w:p>
        </w:tc>
        <w:tc>
          <w:tcPr>
            <w:tcW w:w="503" w:type="pct"/>
            <w:gridSpan w:val="2"/>
            <w:tcBorders>
              <w:top w:val="single" w:color="auto" w:sz="4" w:space="0"/>
              <w:left w:val="single" w:color="auto" w:sz="4" w:space="0"/>
              <w:bottom w:val="single" w:color="auto" w:sz="4" w:space="0"/>
              <w:right w:val="single" w:color="auto" w:sz="4" w:space="0"/>
            </w:tcBorders>
            <w:vAlign w:val="center"/>
          </w:tcPr>
          <w:p w14:paraId="341C68C5">
            <w:pPr>
              <w:jc w:val="center"/>
              <w:rPr>
                <w:rFonts w:ascii="宋体" w:hAnsi="宋体" w:eastAsia="宋体" w:cs="宋体"/>
                <w:szCs w:val="21"/>
              </w:rPr>
            </w:pPr>
          </w:p>
        </w:tc>
        <w:tc>
          <w:tcPr>
            <w:tcW w:w="532" w:type="pct"/>
            <w:tcBorders>
              <w:top w:val="single" w:color="auto" w:sz="4" w:space="0"/>
              <w:left w:val="single" w:color="auto" w:sz="4" w:space="0"/>
              <w:bottom w:val="single" w:color="auto" w:sz="4" w:space="0"/>
              <w:right w:val="single" w:color="auto" w:sz="4" w:space="0"/>
            </w:tcBorders>
            <w:vAlign w:val="center"/>
          </w:tcPr>
          <w:p w14:paraId="3160B3EA">
            <w:pPr>
              <w:jc w:val="center"/>
              <w:rPr>
                <w:rFonts w:ascii="宋体" w:hAnsi="宋体" w:eastAsia="宋体" w:cs="宋体"/>
                <w:szCs w:val="21"/>
              </w:rPr>
            </w:pPr>
          </w:p>
        </w:tc>
      </w:tr>
      <w:tr w14:paraId="1925FD46">
        <w:tblPrEx>
          <w:tblCellMar>
            <w:top w:w="0" w:type="dxa"/>
            <w:left w:w="108" w:type="dxa"/>
            <w:bottom w:w="0" w:type="dxa"/>
            <w:right w:w="108" w:type="dxa"/>
          </w:tblCellMar>
        </w:tblPrEx>
        <w:trPr>
          <w:trHeight w:val="640" w:hRule="atLeast"/>
          <w:jc w:val="center"/>
        </w:trPr>
        <w:tc>
          <w:tcPr>
            <w:tcW w:w="930" w:type="pct"/>
            <w:gridSpan w:val="3"/>
            <w:vMerge w:val="continue"/>
            <w:tcBorders>
              <w:top w:val="single" w:color="auto" w:sz="4" w:space="0"/>
              <w:left w:val="single" w:color="auto" w:sz="4" w:space="0"/>
              <w:bottom w:val="single" w:color="auto" w:sz="4" w:space="0"/>
              <w:right w:val="single" w:color="auto" w:sz="4" w:space="0"/>
            </w:tcBorders>
            <w:vAlign w:val="center"/>
          </w:tcPr>
          <w:p w14:paraId="5A48928A">
            <w:pPr>
              <w:jc w:val="center"/>
              <w:rPr>
                <w:rFonts w:ascii="宋体" w:hAnsi="宋体" w:eastAsia="宋体" w:cs="宋体"/>
                <w:b/>
                <w:bCs/>
                <w:szCs w:val="21"/>
              </w:rPr>
            </w:pPr>
          </w:p>
        </w:tc>
        <w:tc>
          <w:tcPr>
            <w:tcW w:w="503" w:type="pct"/>
            <w:gridSpan w:val="2"/>
            <w:tcBorders>
              <w:top w:val="single" w:color="auto" w:sz="4" w:space="0"/>
              <w:left w:val="single" w:color="auto" w:sz="4" w:space="0"/>
              <w:bottom w:val="single" w:color="auto" w:sz="4" w:space="0"/>
              <w:right w:val="single" w:color="auto" w:sz="4" w:space="0"/>
            </w:tcBorders>
            <w:vAlign w:val="center"/>
          </w:tcPr>
          <w:p w14:paraId="0D44A0BE">
            <w:pPr>
              <w:jc w:val="center"/>
              <w:rPr>
                <w:rFonts w:ascii="宋体" w:hAnsi="宋体" w:eastAsia="宋体" w:cs="宋体"/>
                <w:szCs w:val="21"/>
              </w:rPr>
            </w:pPr>
          </w:p>
        </w:tc>
        <w:tc>
          <w:tcPr>
            <w:tcW w:w="536" w:type="pct"/>
            <w:tcBorders>
              <w:top w:val="single" w:color="auto" w:sz="4" w:space="0"/>
              <w:left w:val="single" w:color="auto" w:sz="4" w:space="0"/>
              <w:bottom w:val="single" w:color="auto" w:sz="4" w:space="0"/>
              <w:right w:val="single" w:color="auto" w:sz="4" w:space="0"/>
            </w:tcBorders>
            <w:vAlign w:val="center"/>
          </w:tcPr>
          <w:p w14:paraId="2C366F28">
            <w:pPr>
              <w:jc w:val="center"/>
              <w:rPr>
                <w:rFonts w:ascii="宋体" w:hAnsi="宋体" w:eastAsia="宋体" w:cs="宋体"/>
                <w:szCs w:val="21"/>
              </w:rPr>
            </w:pPr>
          </w:p>
        </w:tc>
        <w:tc>
          <w:tcPr>
            <w:tcW w:w="471" w:type="pct"/>
            <w:gridSpan w:val="2"/>
            <w:tcBorders>
              <w:top w:val="single" w:color="auto" w:sz="4" w:space="0"/>
              <w:left w:val="single" w:color="auto" w:sz="4" w:space="0"/>
              <w:bottom w:val="single" w:color="auto" w:sz="4" w:space="0"/>
              <w:right w:val="single" w:color="auto" w:sz="4" w:space="0"/>
            </w:tcBorders>
            <w:vAlign w:val="center"/>
          </w:tcPr>
          <w:p w14:paraId="309B29E7">
            <w:pPr>
              <w:jc w:val="center"/>
              <w:rPr>
                <w:rFonts w:ascii="宋体" w:hAnsi="宋体" w:eastAsia="宋体" w:cs="宋体"/>
                <w:szCs w:val="21"/>
              </w:rPr>
            </w:pPr>
          </w:p>
        </w:tc>
        <w:tc>
          <w:tcPr>
            <w:tcW w:w="503" w:type="pct"/>
            <w:tcBorders>
              <w:top w:val="single" w:color="auto" w:sz="4" w:space="0"/>
              <w:left w:val="single" w:color="auto" w:sz="4" w:space="0"/>
              <w:bottom w:val="single" w:color="auto" w:sz="4" w:space="0"/>
              <w:right w:val="single" w:color="auto" w:sz="4" w:space="0"/>
            </w:tcBorders>
            <w:vAlign w:val="center"/>
          </w:tcPr>
          <w:p w14:paraId="681BB25C">
            <w:pPr>
              <w:jc w:val="center"/>
              <w:rPr>
                <w:rFonts w:ascii="宋体" w:hAnsi="宋体" w:eastAsia="宋体" w:cs="宋体"/>
                <w:szCs w:val="21"/>
              </w:rPr>
            </w:pPr>
          </w:p>
        </w:tc>
        <w:tc>
          <w:tcPr>
            <w:tcW w:w="503" w:type="pct"/>
            <w:gridSpan w:val="2"/>
            <w:tcBorders>
              <w:top w:val="single" w:color="auto" w:sz="4" w:space="0"/>
              <w:left w:val="single" w:color="auto" w:sz="4" w:space="0"/>
              <w:bottom w:val="single" w:color="auto" w:sz="4" w:space="0"/>
              <w:right w:val="single" w:color="auto" w:sz="4" w:space="0"/>
            </w:tcBorders>
            <w:vAlign w:val="center"/>
          </w:tcPr>
          <w:p w14:paraId="2677F2C4">
            <w:pPr>
              <w:jc w:val="center"/>
              <w:rPr>
                <w:rFonts w:ascii="宋体" w:hAnsi="宋体" w:eastAsia="宋体" w:cs="宋体"/>
                <w:szCs w:val="21"/>
              </w:rPr>
            </w:pPr>
          </w:p>
        </w:tc>
        <w:tc>
          <w:tcPr>
            <w:tcW w:w="517" w:type="pct"/>
            <w:gridSpan w:val="3"/>
            <w:tcBorders>
              <w:top w:val="single" w:color="auto" w:sz="4" w:space="0"/>
              <w:left w:val="single" w:color="auto" w:sz="4" w:space="0"/>
              <w:bottom w:val="single" w:color="auto" w:sz="4" w:space="0"/>
              <w:right w:val="single" w:color="auto" w:sz="4" w:space="0"/>
            </w:tcBorders>
            <w:vAlign w:val="center"/>
          </w:tcPr>
          <w:p w14:paraId="751EB70B">
            <w:pPr>
              <w:jc w:val="center"/>
              <w:rPr>
                <w:rFonts w:ascii="宋体" w:hAnsi="宋体" w:eastAsia="宋体" w:cs="宋体"/>
                <w:szCs w:val="21"/>
              </w:rPr>
            </w:pPr>
          </w:p>
        </w:tc>
        <w:tc>
          <w:tcPr>
            <w:tcW w:w="503" w:type="pct"/>
            <w:gridSpan w:val="2"/>
            <w:tcBorders>
              <w:top w:val="single" w:color="auto" w:sz="4" w:space="0"/>
              <w:left w:val="single" w:color="auto" w:sz="4" w:space="0"/>
              <w:bottom w:val="single" w:color="auto" w:sz="4" w:space="0"/>
              <w:right w:val="single" w:color="auto" w:sz="4" w:space="0"/>
            </w:tcBorders>
            <w:vAlign w:val="center"/>
          </w:tcPr>
          <w:p w14:paraId="4D5F2CD4">
            <w:pPr>
              <w:jc w:val="center"/>
              <w:rPr>
                <w:rFonts w:ascii="宋体" w:hAnsi="宋体" w:eastAsia="宋体" w:cs="宋体"/>
                <w:szCs w:val="21"/>
              </w:rPr>
            </w:pPr>
          </w:p>
        </w:tc>
        <w:tc>
          <w:tcPr>
            <w:tcW w:w="532" w:type="pct"/>
            <w:tcBorders>
              <w:top w:val="single" w:color="auto" w:sz="4" w:space="0"/>
              <w:left w:val="single" w:color="auto" w:sz="4" w:space="0"/>
              <w:bottom w:val="single" w:color="auto" w:sz="4" w:space="0"/>
              <w:right w:val="single" w:color="auto" w:sz="4" w:space="0"/>
            </w:tcBorders>
            <w:vAlign w:val="center"/>
          </w:tcPr>
          <w:p w14:paraId="3FF12F28">
            <w:pPr>
              <w:jc w:val="center"/>
              <w:rPr>
                <w:rFonts w:ascii="宋体" w:hAnsi="宋体" w:eastAsia="宋体" w:cs="宋体"/>
                <w:szCs w:val="21"/>
              </w:rPr>
            </w:pPr>
          </w:p>
        </w:tc>
      </w:tr>
      <w:tr w14:paraId="49774044">
        <w:tblPrEx>
          <w:tblCellMar>
            <w:top w:w="0" w:type="dxa"/>
            <w:left w:w="108" w:type="dxa"/>
            <w:bottom w:w="0" w:type="dxa"/>
            <w:right w:w="108" w:type="dxa"/>
          </w:tblCellMar>
        </w:tblPrEx>
        <w:trPr>
          <w:trHeight w:val="640" w:hRule="atLeast"/>
          <w:jc w:val="center"/>
        </w:trPr>
        <w:tc>
          <w:tcPr>
            <w:tcW w:w="930" w:type="pct"/>
            <w:gridSpan w:val="3"/>
            <w:vMerge w:val="continue"/>
            <w:tcBorders>
              <w:top w:val="single" w:color="auto" w:sz="4" w:space="0"/>
              <w:left w:val="single" w:color="auto" w:sz="4" w:space="0"/>
              <w:bottom w:val="single" w:color="auto" w:sz="4" w:space="0"/>
              <w:right w:val="single" w:color="auto" w:sz="4" w:space="0"/>
            </w:tcBorders>
            <w:vAlign w:val="center"/>
          </w:tcPr>
          <w:p w14:paraId="1FE43083">
            <w:pPr>
              <w:jc w:val="center"/>
              <w:rPr>
                <w:rFonts w:ascii="宋体" w:hAnsi="宋体" w:eastAsia="宋体" w:cs="宋体"/>
                <w:b/>
                <w:bCs/>
                <w:szCs w:val="21"/>
              </w:rPr>
            </w:pPr>
          </w:p>
        </w:tc>
        <w:tc>
          <w:tcPr>
            <w:tcW w:w="503" w:type="pct"/>
            <w:gridSpan w:val="2"/>
            <w:tcBorders>
              <w:top w:val="single" w:color="auto" w:sz="4" w:space="0"/>
              <w:left w:val="single" w:color="auto" w:sz="4" w:space="0"/>
              <w:bottom w:val="single" w:color="auto" w:sz="4" w:space="0"/>
              <w:right w:val="single" w:color="auto" w:sz="4" w:space="0"/>
            </w:tcBorders>
            <w:vAlign w:val="center"/>
          </w:tcPr>
          <w:p w14:paraId="67270EB3">
            <w:pPr>
              <w:jc w:val="center"/>
              <w:rPr>
                <w:rFonts w:ascii="宋体" w:hAnsi="宋体" w:eastAsia="宋体" w:cs="宋体"/>
                <w:szCs w:val="21"/>
              </w:rPr>
            </w:pPr>
          </w:p>
        </w:tc>
        <w:tc>
          <w:tcPr>
            <w:tcW w:w="536" w:type="pct"/>
            <w:tcBorders>
              <w:top w:val="single" w:color="auto" w:sz="4" w:space="0"/>
              <w:left w:val="single" w:color="auto" w:sz="4" w:space="0"/>
              <w:bottom w:val="single" w:color="auto" w:sz="4" w:space="0"/>
              <w:right w:val="single" w:color="auto" w:sz="4" w:space="0"/>
            </w:tcBorders>
            <w:vAlign w:val="center"/>
          </w:tcPr>
          <w:p w14:paraId="7AD1567F">
            <w:pPr>
              <w:jc w:val="center"/>
              <w:rPr>
                <w:rFonts w:ascii="宋体" w:hAnsi="宋体" w:eastAsia="宋体" w:cs="宋体"/>
                <w:szCs w:val="21"/>
              </w:rPr>
            </w:pPr>
          </w:p>
        </w:tc>
        <w:tc>
          <w:tcPr>
            <w:tcW w:w="471" w:type="pct"/>
            <w:gridSpan w:val="2"/>
            <w:tcBorders>
              <w:top w:val="single" w:color="auto" w:sz="4" w:space="0"/>
              <w:left w:val="single" w:color="auto" w:sz="4" w:space="0"/>
              <w:bottom w:val="single" w:color="auto" w:sz="4" w:space="0"/>
              <w:right w:val="single" w:color="auto" w:sz="4" w:space="0"/>
            </w:tcBorders>
            <w:vAlign w:val="center"/>
          </w:tcPr>
          <w:p w14:paraId="74EE0A4F">
            <w:pPr>
              <w:jc w:val="center"/>
              <w:rPr>
                <w:rFonts w:ascii="宋体" w:hAnsi="宋体" w:eastAsia="宋体" w:cs="宋体"/>
                <w:szCs w:val="21"/>
              </w:rPr>
            </w:pPr>
          </w:p>
        </w:tc>
        <w:tc>
          <w:tcPr>
            <w:tcW w:w="503" w:type="pct"/>
            <w:tcBorders>
              <w:top w:val="single" w:color="auto" w:sz="4" w:space="0"/>
              <w:left w:val="single" w:color="auto" w:sz="4" w:space="0"/>
              <w:bottom w:val="single" w:color="auto" w:sz="4" w:space="0"/>
              <w:right w:val="single" w:color="auto" w:sz="4" w:space="0"/>
            </w:tcBorders>
            <w:vAlign w:val="center"/>
          </w:tcPr>
          <w:p w14:paraId="3A539F22">
            <w:pPr>
              <w:jc w:val="center"/>
              <w:rPr>
                <w:rFonts w:ascii="宋体" w:hAnsi="宋体" w:eastAsia="宋体" w:cs="宋体"/>
                <w:szCs w:val="21"/>
              </w:rPr>
            </w:pPr>
          </w:p>
        </w:tc>
        <w:tc>
          <w:tcPr>
            <w:tcW w:w="503" w:type="pct"/>
            <w:gridSpan w:val="2"/>
            <w:tcBorders>
              <w:top w:val="single" w:color="auto" w:sz="4" w:space="0"/>
              <w:left w:val="single" w:color="auto" w:sz="4" w:space="0"/>
              <w:bottom w:val="single" w:color="auto" w:sz="4" w:space="0"/>
              <w:right w:val="single" w:color="auto" w:sz="4" w:space="0"/>
            </w:tcBorders>
            <w:vAlign w:val="center"/>
          </w:tcPr>
          <w:p w14:paraId="767B1BF2">
            <w:pPr>
              <w:jc w:val="center"/>
              <w:rPr>
                <w:rFonts w:ascii="宋体" w:hAnsi="宋体" w:eastAsia="宋体" w:cs="宋体"/>
                <w:szCs w:val="21"/>
              </w:rPr>
            </w:pPr>
          </w:p>
        </w:tc>
        <w:tc>
          <w:tcPr>
            <w:tcW w:w="517" w:type="pct"/>
            <w:gridSpan w:val="3"/>
            <w:tcBorders>
              <w:top w:val="single" w:color="auto" w:sz="4" w:space="0"/>
              <w:left w:val="single" w:color="auto" w:sz="4" w:space="0"/>
              <w:bottom w:val="single" w:color="auto" w:sz="4" w:space="0"/>
              <w:right w:val="single" w:color="auto" w:sz="4" w:space="0"/>
            </w:tcBorders>
            <w:vAlign w:val="center"/>
          </w:tcPr>
          <w:p w14:paraId="7D59E3D1">
            <w:pPr>
              <w:jc w:val="center"/>
              <w:rPr>
                <w:rFonts w:ascii="宋体" w:hAnsi="宋体" w:eastAsia="宋体" w:cs="宋体"/>
                <w:szCs w:val="21"/>
              </w:rPr>
            </w:pPr>
          </w:p>
        </w:tc>
        <w:tc>
          <w:tcPr>
            <w:tcW w:w="503" w:type="pct"/>
            <w:gridSpan w:val="2"/>
            <w:tcBorders>
              <w:top w:val="single" w:color="auto" w:sz="4" w:space="0"/>
              <w:left w:val="single" w:color="auto" w:sz="4" w:space="0"/>
              <w:bottom w:val="single" w:color="auto" w:sz="4" w:space="0"/>
              <w:right w:val="single" w:color="auto" w:sz="4" w:space="0"/>
            </w:tcBorders>
            <w:vAlign w:val="center"/>
          </w:tcPr>
          <w:p w14:paraId="28A51503">
            <w:pPr>
              <w:jc w:val="center"/>
              <w:rPr>
                <w:rFonts w:ascii="宋体" w:hAnsi="宋体" w:eastAsia="宋体" w:cs="宋体"/>
                <w:szCs w:val="21"/>
              </w:rPr>
            </w:pPr>
          </w:p>
        </w:tc>
        <w:tc>
          <w:tcPr>
            <w:tcW w:w="532" w:type="pct"/>
            <w:tcBorders>
              <w:top w:val="single" w:color="auto" w:sz="4" w:space="0"/>
              <w:left w:val="single" w:color="auto" w:sz="4" w:space="0"/>
              <w:bottom w:val="single" w:color="auto" w:sz="4" w:space="0"/>
              <w:right w:val="single" w:color="auto" w:sz="4" w:space="0"/>
            </w:tcBorders>
            <w:vAlign w:val="center"/>
          </w:tcPr>
          <w:p w14:paraId="17E45F76">
            <w:pPr>
              <w:jc w:val="center"/>
              <w:rPr>
                <w:rFonts w:ascii="宋体" w:hAnsi="宋体" w:eastAsia="宋体" w:cs="宋体"/>
                <w:szCs w:val="21"/>
              </w:rPr>
            </w:pPr>
          </w:p>
        </w:tc>
      </w:tr>
      <w:tr w14:paraId="6C6F40B4">
        <w:tblPrEx>
          <w:tblCellMar>
            <w:top w:w="0" w:type="dxa"/>
            <w:left w:w="108" w:type="dxa"/>
            <w:bottom w:w="0" w:type="dxa"/>
            <w:right w:w="108" w:type="dxa"/>
          </w:tblCellMar>
        </w:tblPrEx>
        <w:trPr>
          <w:trHeight w:val="640" w:hRule="atLeast"/>
          <w:jc w:val="center"/>
        </w:trPr>
        <w:tc>
          <w:tcPr>
            <w:tcW w:w="930" w:type="pct"/>
            <w:gridSpan w:val="3"/>
            <w:vMerge w:val="continue"/>
            <w:tcBorders>
              <w:top w:val="single" w:color="auto" w:sz="4" w:space="0"/>
              <w:left w:val="single" w:color="auto" w:sz="4" w:space="0"/>
              <w:bottom w:val="single" w:color="auto" w:sz="4" w:space="0"/>
              <w:right w:val="single" w:color="auto" w:sz="4" w:space="0"/>
            </w:tcBorders>
            <w:vAlign w:val="center"/>
          </w:tcPr>
          <w:p w14:paraId="2A74A7F0">
            <w:pPr>
              <w:jc w:val="center"/>
              <w:rPr>
                <w:rFonts w:ascii="宋体" w:hAnsi="宋体" w:eastAsia="宋体" w:cs="宋体"/>
                <w:b/>
                <w:bCs/>
                <w:szCs w:val="21"/>
              </w:rPr>
            </w:pPr>
          </w:p>
        </w:tc>
        <w:tc>
          <w:tcPr>
            <w:tcW w:w="503" w:type="pct"/>
            <w:gridSpan w:val="2"/>
            <w:tcBorders>
              <w:top w:val="single" w:color="auto" w:sz="4" w:space="0"/>
              <w:left w:val="single" w:color="auto" w:sz="4" w:space="0"/>
              <w:bottom w:val="single" w:color="auto" w:sz="4" w:space="0"/>
              <w:right w:val="single" w:color="auto" w:sz="4" w:space="0"/>
            </w:tcBorders>
            <w:vAlign w:val="center"/>
          </w:tcPr>
          <w:p w14:paraId="316500A5">
            <w:pPr>
              <w:jc w:val="center"/>
              <w:rPr>
                <w:rFonts w:ascii="宋体" w:hAnsi="宋体" w:eastAsia="宋体" w:cs="宋体"/>
                <w:szCs w:val="21"/>
              </w:rPr>
            </w:pPr>
            <w:r>
              <w:rPr>
                <w:rFonts w:hint="eastAsia" w:ascii="宋体" w:hAnsi="宋体" w:eastAsia="宋体" w:cs="宋体"/>
                <w:szCs w:val="21"/>
              </w:rPr>
              <w:t>……</w:t>
            </w:r>
          </w:p>
        </w:tc>
        <w:tc>
          <w:tcPr>
            <w:tcW w:w="536" w:type="pct"/>
            <w:tcBorders>
              <w:top w:val="single" w:color="auto" w:sz="4" w:space="0"/>
              <w:left w:val="single" w:color="auto" w:sz="4" w:space="0"/>
              <w:bottom w:val="single" w:color="auto" w:sz="4" w:space="0"/>
              <w:right w:val="single" w:color="auto" w:sz="4" w:space="0"/>
            </w:tcBorders>
            <w:vAlign w:val="center"/>
          </w:tcPr>
          <w:p w14:paraId="68E89059">
            <w:pPr>
              <w:jc w:val="center"/>
              <w:rPr>
                <w:rFonts w:ascii="宋体" w:hAnsi="宋体" w:eastAsia="宋体" w:cs="宋体"/>
                <w:szCs w:val="21"/>
              </w:rPr>
            </w:pPr>
          </w:p>
        </w:tc>
        <w:tc>
          <w:tcPr>
            <w:tcW w:w="471" w:type="pct"/>
            <w:gridSpan w:val="2"/>
            <w:tcBorders>
              <w:top w:val="single" w:color="auto" w:sz="4" w:space="0"/>
              <w:left w:val="single" w:color="auto" w:sz="4" w:space="0"/>
              <w:bottom w:val="single" w:color="auto" w:sz="4" w:space="0"/>
              <w:right w:val="single" w:color="auto" w:sz="4" w:space="0"/>
            </w:tcBorders>
            <w:vAlign w:val="center"/>
          </w:tcPr>
          <w:p w14:paraId="563ECA04">
            <w:pPr>
              <w:jc w:val="center"/>
              <w:rPr>
                <w:rFonts w:ascii="宋体" w:hAnsi="宋体" w:eastAsia="宋体" w:cs="宋体"/>
                <w:szCs w:val="21"/>
              </w:rPr>
            </w:pPr>
          </w:p>
        </w:tc>
        <w:tc>
          <w:tcPr>
            <w:tcW w:w="503" w:type="pct"/>
            <w:tcBorders>
              <w:top w:val="single" w:color="auto" w:sz="4" w:space="0"/>
              <w:left w:val="single" w:color="auto" w:sz="4" w:space="0"/>
              <w:bottom w:val="single" w:color="auto" w:sz="4" w:space="0"/>
              <w:right w:val="single" w:color="auto" w:sz="4" w:space="0"/>
            </w:tcBorders>
            <w:vAlign w:val="center"/>
          </w:tcPr>
          <w:p w14:paraId="392EC732">
            <w:pPr>
              <w:jc w:val="center"/>
              <w:rPr>
                <w:rFonts w:ascii="宋体" w:hAnsi="宋体" w:eastAsia="宋体" w:cs="宋体"/>
                <w:szCs w:val="21"/>
              </w:rPr>
            </w:pPr>
          </w:p>
        </w:tc>
        <w:tc>
          <w:tcPr>
            <w:tcW w:w="503" w:type="pct"/>
            <w:gridSpan w:val="2"/>
            <w:tcBorders>
              <w:top w:val="single" w:color="auto" w:sz="4" w:space="0"/>
              <w:left w:val="single" w:color="auto" w:sz="4" w:space="0"/>
              <w:bottom w:val="single" w:color="auto" w:sz="4" w:space="0"/>
              <w:right w:val="single" w:color="auto" w:sz="4" w:space="0"/>
            </w:tcBorders>
            <w:vAlign w:val="center"/>
          </w:tcPr>
          <w:p w14:paraId="5315A664">
            <w:pPr>
              <w:jc w:val="center"/>
              <w:rPr>
                <w:rFonts w:ascii="宋体" w:hAnsi="宋体" w:eastAsia="宋体" w:cs="宋体"/>
                <w:szCs w:val="21"/>
              </w:rPr>
            </w:pPr>
          </w:p>
        </w:tc>
        <w:tc>
          <w:tcPr>
            <w:tcW w:w="517" w:type="pct"/>
            <w:gridSpan w:val="3"/>
            <w:tcBorders>
              <w:top w:val="single" w:color="auto" w:sz="4" w:space="0"/>
              <w:left w:val="single" w:color="auto" w:sz="4" w:space="0"/>
              <w:bottom w:val="single" w:color="auto" w:sz="4" w:space="0"/>
              <w:right w:val="single" w:color="auto" w:sz="4" w:space="0"/>
            </w:tcBorders>
            <w:vAlign w:val="center"/>
          </w:tcPr>
          <w:p w14:paraId="080F912E">
            <w:pPr>
              <w:jc w:val="center"/>
              <w:rPr>
                <w:rFonts w:ascii="宋体" w:hAnsi="宋体" w:eastAsia="宋体" w:cs="宋体"/>
                <w:szCs w:val="21"/>
              </w:rPr>
            </w:pPr>
          </w:p>
        </w:tc>
        <w:tc>
          <w:tcPr>
            <w:tcW w:w="503" w:type="pct"/>
            <w:gridSpan w:val="2"/>
            <w:tcBorders>
              <w:top w:val="single" w:color="auto" w:sz="4" w:space="0"/>
              <w:left w:val="single" w:color="auto" w:sz="4" w:space="0"/>
              <w:bottom w:val="single" w:color="auto" w:sz="4" w:space="0"/>
              <w:right w:val="single" w:color="auto" w:sz="4" w:space="0"/>
            </w:tcBorders>
            <w:vAlign w:val="center"/>
          </w:tcPr>
          <w:p w14:paraId="00B05127">
            <w:pPr>
              <w:jc w:val="center"/>
              <w:rPr>
                <w:rFonts w:ascii="宋体" w:hAnsi="宋体" w:eastAsia="宋体" w:cs="宋体"/>
                <w:szCs w:val="21"/>
              </w:rPr>
            </w:pPr>
          </w:p>
        </w:tc>
        <w:tc>
          <w:tcPr>
            <w:tcW w:w="532" w:type="pct"/>
            <w:tcBorders>
              <w:top w:val="single" w:color="auto" w:sz="4" w:space="0"/>
              <w:left w:val="single" w:color="auto" w:sz="4" w:space="0"/>
              <w:bottom w:val="single" w:color="auto" w:sz="4" w:space="0"/>
              <w:right w:val="single" w:color="auto" w:sz="4" w:space="0"/>
            </w:tcBorders>
            <w:vAlign w:val="center"/>
          </w:tcPr>
          <w:p w14:paraId="6F3BF163">
            <w:pPr>
              <w:jc w:val="center"/>
              <w:rPr>
                <w:rFonts w:ascii="宋体" w:hAnsi="宋体" w:eastAsia="宋体" w:cs="宋体"/>
                <w:szCs w:val="21"/>
              </w:rPr>
            </w:pPr>
          </w:p>
        </w:tc>
      </w:tr>
    </w:tbl>
    <w:p w14:paraId="63710716">
      <w:pPr>
        <w:rPr>
          <w:rFonts w:ascii="宋体" w:hAnsi="宋体" w:eastAsia="宋体" w:cs="宋体"/>
        </w:rPr>
        <w:sectPr>
          <w:pgSz w:w="16838" w:h="11906" w:orient="landscape"/>
          <w:pgMar w:top="1800" w:right="1020" w:bottom="1800" w:left="1440" w:header="851" w:footer="992" w:gutter="0"/>
          <w:cols w:space="425" w:num="1"/>
          <w:docGrid w:type="lines" w:linePitch="312" w:charSpace="0"/>
        </w:sectPr>
      </w:pPr>
    </w:p>
    <w:p w14:paraId="28024449">
      <w:pPr>
        <w:jc w:val="center"/>
        <w:rPr>
          <w:rFonts w:ascii="宋体" w:hAnsi="宋体" w:eastAsia="宋体" w:cs="宋体"/>
          <w:b/>
          <w:bCs/>
          <w:sz w:val="28"/>
          <w:szCs w:val="36"/>
        </w:rPr>
      </w:pPr>
      <w:r>
        <w:rPr>
          <w:rFonts w:hint="eastAsia" w:ascii="宋体" w:hAnsi="宋体" w:eastAsia="宋体" w:cs="宋体"/>
          <w:b/>
          <w:bCs/>
          <w:sz w:val="28"/>
          <w:szCs w:val="36"/>
        </w:rPr>
        <w:t>供应商资格文件</w:t>
      </w:r>
    </w:p>
    <w:p w14:paraId="2373AF72">
      <w:pPr>
        <w:pStyle w:val="10"/>
        <w:widowControl/>
        <w:adjustRightInd w:val="0"/>
        <w:snapToGrid w:val="0"/>
        <w:spacing w:beforeAutospacing="0" w:afterAutospacing="0"/>
        <w:jc w:val="both"/>
        <w:rPr>
          <w:rFonts w:ascii="宋体" w:hAnsi="宋体" w:eastAsia="宋体" w:cs="宋体"/>
          <w:kern w:val="2"/>
          <w:sz w:val="30"/>
          <w:szCs w:val="30"/>
        </w:rPr>
      </w:pPr>
    </w:p>
    <w:p w14:paraId="27DC0AB7">
      <w:pPr>
        <w:pStyle w:val="10"/>
        <w:widowControl/>
        <w:adjustRightInd w:val="0"/>
        <w:snapToGrid w:val="0"/>
        <w:spacing w:beforeAutospacing="0" w:afterAutospacing="0"/>
        <w:jc w:val="both"/>
        <w:rPr>
          <w:rFonts w:ascii="宋体" w:hAnsi="宋体" w:eastAsia="宋体" w:cs="宋体"/>
          <w:kern w:val="2"/>
          <w:sz w:val="28"/>
          <w:szCs w:val="28"/>
        </w:rPr>
      </w:pPr>
      <w:r>
        <w:rPr>
          <w:rFonts w:hint="eastAsia" w:ascii="宋体" w:hAnsi="宋体" w:eastAsia="宋体" w:cs="宋体"/>
          <w:kern w:val="2"/>
          <w:sz w:val="28"/>
          <w:szCs w:val="28"/>
        </w:rPr>
        <w:t>1.供应商必须是具有独立承担民事责任能力的在中华人民共和国境内注册的法人或其他组织或自然人；</w:t>
      </w:r>
    </w:p>
    <w:p w14:paraId="35F8EBD3">
      <w:pPr>
        <w:pStyle w:val="10"/>
        <w:widowControl/>
        <w:adjustRightInd w:val="0"/>
        <w:snapToGrid w:val="0"/>
        <w:spacing w:beforeAutospacing="0" w:afterAutospacing="0"/>
        <w:jc w:val="both"/>
        <w:rPr>
          <w:rFonts w:ascii="宋体" w:hAnsi="宋体" w:eastAsia="宋体" w:cs="宋体"/>
          <w:kern w:val="2"/>
          <w:sz w:val="28"/>
          <w:szCs w:val="28"/>
        </w:rPr>
      </w:pPr>
      <w:r>
        <w:rPr>
          <w:rFonts w:hint="eastAsia" w:ascii="宋体" w:hAnsi="宋体" w:eastAsia="宋体" w:cs="宋体"/>
          <w:kern w:val="2"/>
          <w:sz w:val="28"/>
          <w:szCs w:val="28"/>
        </w:rPr>
        <w:t>（证明材料：营业执照、总公司授权证明（如有））</w:t>
      </w:r>
    </w:p>
    <w:p w14:paraId="6C4C7D71">
      <w:pPr>
        <w:pStyle w:val="10"/>
        <w:widowControl/>
        <w:adjustRightInd w:val="0"/>
        <w:snapToGrid w:val="0"/>
        <w:spacing w:beforeAutospacing="0" w:afterAutospacing="0"/>
        <w:jc w:val="both"/>
        <w:rPr>
          <w:rFonts w:ascii="宋体" w:hAnsi="宋体" w:eastAsia="宋体" w:cs="宋体"/>
          <w:kern w:val="2"/>
          <w:sz w:val="28"/>
          <w:szCs w:val="28"/>
        </w:rPr>
      </w:pPr>
    </w:p>
    <w:p w14:paraId="0B7DC31B">
      <w:pPr>
        <w:pStyle w:val="10"/>
        <w:widowControl/>
        <w:adjustRightInd w:val="0"/>
        <w:snapToGrid w:val="0"/>
        <w:spacing w:beforeAutospacing="0" w:afterAutospacing="0"/>
        <w:jc w:val="both"/>
        <w:rPr>
          <w:rFonts w:ascii="宋体" w:hAnsi="宋体" w:eastAsia="宋体" w:cs="宋体"/>
          <w:kern w:val="2"/>
          <w:sz w:val="28"/>
          <w:szCs w:val="28"/>
        </w:rPr>
      </w:pPr>
      <w:r>
        <w:rPr>
          <w:rFonts w:hint="eastAsia" w:ascii="宋体" w:hAnsi="宋体" w:eastAsia="宋体" w:cs="宋体"/>
          <w:kern w:val="2"/>
          <w:sz w:val="28"/>
          <w:szCs w:val="28"/>
        </w:rPr>
        <w:t>2.其它供应商认为内的重要事项说明及承诺(请扼要叙述)</w:t>
      </w:r>
    </w:p>
    <w:p w14:paraId="197C9519">
      <w:pPr>
        <w:rPr>
          <w:rFonts w:ascii="宋体" w:hAnsi="宋体" w:eastAsia="宋体" w:cs="宋体"/>
          <w:b/>
          <w:sz w:val="28"/>
          <w:szCs w:val="28"/>
        </w:rPr>
      </w:pPr>
    </w:p>
    <w:p w14:paraId="69C11643">
      <w:pPr>
        <w:rPr>
          <w:rFonts w:ascii="宋体" w:hAnsi="宋体" w:eastAsia="宋体" w:cs="宋体"/>
          <w:b/>
          <w:sz w:val="24"/>
        </w:rPr>
      </w:pPr>
      <w:r>
        <w:rPr>
          <w:rFonts w:hint="eastAsia" w:ascii="宋体" w:hAnsi="宋体" w:eastAsia="宋体" w:cs="宋体"/>
          <w:b/>
          <w:sz w:val="24"/>
        </w:rPr>
        <w:br w:type="page"/>
      </w:r>
    </w:p>
    <w:p w14:paraId="64B0E5F0">
      <w:pPr>
        <w:jc w:val="center"/>
        <w:rPr>
          <w:rFonts w:ascii="宋体" w:hAnsi="宋体" w:eastAsia="宋体" w:cs="宋体"/>
          <w:b/>
          <w:bCs/>
          <w:sz w:val="28"/>
          <w:szCs w:val="28"/>
        </w:rPr>
      </w:pPr>
      <w:r>
        <w:rPr>
          <w:rFonts w:hint="eastAsia" w:ascii="宋体" w:hAnsi="宋体" w:eastAsia="宋体" w:cs="宋体"/>
          <w:b/>
          <w:bCs/>
          <w:sz w:val="28"/>
          <w:szCs w:val="28"/>
        </w:rPr>
        <w:t>产品技术参数响应表</w:t>
      </w:r>
    </w:p>
    <w:p w14:paraId="3D8F2EAC">
      <w:pPr>
        <w:pStyle w:val="2"/>
        <w:jc w:val="center"/>
        <w:rPr>
          <w:rFonts w:ascii="宋体" w:hAnsi="宋体" w:eastAsia="宋体" w:cs="宋体"/>
          <w:b/>
          <w:bCs/>
        </w:rPr>
      </w:pPr>
      <w:r>
        <w:rPr>
          <w:rFonts w:hint="eastAsia" w:ascii="宋体" w:hAnsi="宋体" w:eastAsia="宋体" w:cs="宋体"/>
          <w:b/>
          <w:bCs/>
        </w:rPr>
        <w:t>DIP管理平台</w:t>
      </w:r>
    </w:p>
    <w:tbl>
      <w:tblPr>
        <w:tblStyle w:val="13"/>
        <w:tblW w:w="5480" w:type="pct"/>
        <w:tblInd w:w="-367" w:type="dxa"/>
        <w:tblLayout w:type="fixed"/>
        <w:tblCellMar>
          <w:top w:w="0" w:type="dxa"/>
          <w:left w:w="108" w:type="dxa"/>
          <w:bottom w:w="0" w:type="dxa"/>
          <w:right w:w="108" w:type="dxa"/>
        </w:tblCellMar>
      </w:tblPr>
      <w:tblGrid>
        <w:gridCol w:w="516"/>
        <w:gridCol w:w="651"/>
        <w:gridCol w:w="816"/>
        <w:gridCol w:w="948"/>
        <w:gridCol w:w="5644"/>
        <w:gridCol w:w="1171"/>
        <w:gridCol w:w="1304"/>
      </w:tblGrid>
      <w:tr w14:paraId="76EF2DCD">
        <w:tblPrEx>
          <w:tblCellMar>
            <w:top w:w="0" w:type="dxa"/>
            <w:left w:w="108" w:type="dxa"/>
            <w:bottom w:w="0" w:type="dxa"/>
            <w:right w:w="108" w:type="dxa"/>
          </w:tblCellMar>
        </w:tblPrEx>
        <w:trPr>
          <w:trHeight w:val="315" w:hRule="atLeast"/>
        </w:trPr>
        <w:tc>
          <w:tcPr>
            <w:tcW w:w="233" w:type="pct"/>
            <w:tcBorders>
              <w:top w:val="single" w:color="000000" w:sz="4" w:space="0"/>
              <w:left w:val="single" w:color="000000" w:sz="4" w:space="0"/>
              <w:bottom w:val="single" w:color="000000" w:sz="4" w:space="0"/>
              <w:right w:val="single" w:color="000000" w:sz="4" w:space="0"/>
            </w:tcBorders>
            <w:vAlign w:val="center"/>
          </w:tcPr>
          <w:p w14:paraId="6C048549">
            <w:pPr>
              <w:widowControl/>
              <w:jc w:val="center"/>
              <w:rPr>
                <w:rFonts w:ascii="宋体" w:hAnsi="宋体" w:eastAsia="宋体" w:cs="宋体"/>
                <w:b/>
                <w:bCs/>
                <w:color w:val="000000"/>
                <w:kern w:val="0"/>
                <w:szCs w:val="21"/>
              </w:rPr>
            </w:pPr>
            <w:r>
              <w:rPr>
                <w:rFonts w:hint="eastAsia" w:ascii="宋体" w:hAnsi="宋体" w:eastAsia="宋体" w:cs="宋体"/>
                <w:b/>
                <w:bCs/>
                <w:color w:val="000000"/>
                <w:kern w:val="0"/>
                <w:szCs w:val="21"/>
              </w:rPr>
              <w:t>序号</w:t>
            </w:r>
          </w:p>
        </w:tc>
        <w:tc>
          <w:tcPr>
            <w:tcW w:w="294" w:type="pct"/>
            <w:tcBorders>
              <w:top w:val="single" w:color="000000" w:sz="4" w:space="0"/>
              <w:left w:val="single" w:color="000000" w:sz="4" w:space="0"/>
              <w:bottom w:val="single" w:color="000000" w:sz="4" w:space="0"/>
              <w:right w:val="single" w:color="000000" w:sz="4" w:space="0"/>
            </w:tcBorders>
            <w:vAlign w:val="center"/>
          </w:tcPr>
          <w:p w14:paraId="62B0019E">
            <w:pPr>
              <w:widowControl/>
              <w:jc w:val="center"/>
              <w:rPr>
                <w:rFonts w:ascii="宋体" w:hAnsi="宋体" w:eastAsia="宋体" w:cs="宋体"/>
                <w:b/>
                <w:bCs/>
                <w:color w:val="000000"/>
                <w:kern w:val="0"/>
                <w:szCs w:val="21"/>
              </w:rPr>
            </w:pPr>
            <w:r>
              <w:rPr>
                <w:rFonts w:hint="eastAsia" w:ascii="宋体" w:hAnsi="宋体" w:eastAsia="宋体" w:cs="宋体"/>
                <w:b/>
                <w:bCs/>
                <w:color w:val="000000"/>
                <w:kern w:val="0"/>
                <w:szCs w:val="21"/>
              </w:rPr>
              <w:t>系统名称</w:t>
            </w:r>
          </w:p>
        </w:tc>
        <w:tc>
          <w:tcPr>
            <w:tcW w:w="369" w:type="pct"/>
            <w:tcBorders>
              <w:top w:val="single" w:color="000000" w:sz="4" w:space="0"/>
              <w:left w:val="single" w:color="000000" w:sz="4" w:space="0"/>
              <w:bottom w:val="single" w:color="000000" w:sz="4" w:space="0"/>
              <w:right w:val="single" w:color="000000" w:sz="4" w:space="0"/>
            </w:tcBorders>
            <w:vAlign w:val="center"/>
          </w:tcPr>
          <w:p w14:paraId="6B4610B4">
            <w:pPr>
              <w:widowControl/>
              <w:jc w:val="center"/>
              <w:rPr>
                <w:rFonts w:ascii="宋体" w:hAnsi="宋体" w:eastAsia="宋体" w:cs="宋体"/>
                <w:b/>
                <w:bCs/>
                <w:color w:val="000000"/>
                <w:kern w:val="0"/>
                <w:szCs w:val="21"/>
              </w:rPr>
            </w:pPr>
            <w:r>
              <w:rPr>
                <w:rFonts w:hint="eastAsia" w:ascii="宋体" w:hAnsi="宋体" w:eastAsia="宋体" w:cs="宋体"/>
                <w:b/>
                <w:bCs/>
                <w:color w:val="000000"/>
                <w:kern w:val="0"/>
                <w:szCs w:val="21"/>
              </w:rPr>
              <w:t>模块名称</w:t>
            </w:r>
          </w:p>
        </w:tc>
        <w:tc>
          <w:tcPr>
            <w:tcW w:w="429" w:type="pct"/>
            <w:tcBorders>
              <w:top w:val="single" w:color="000000" w:sz="4" w:space="0"/>
              <w:left w:val="single" w:color="000000" w:sz="4" w:space="0"/>
              <w:bottom w:val="single" w:color="000000" w:sz="4" w:space="0"/>
              <w:right w:val="single" w:color="000000" w:sz="4" w:space="0"/>
            </w:tcBorders>
            <w:vAlign w:val="center"/>
          </w:tcPr>
          <w:p w14:paraId="6F05A0C3">
            <w:pPr>
              <w:widowControl/>
              <w:jc w:val="center"/>
              <w:rPr>
                <w:rFonts w:ascii="宋体" w:hAnsi="宋体" w:eastAsia="宋体" w:cs="宋体"/>
                <w:b/>
                <w:bCs/>
                <w:color w:val="000000"/>
                <w:kern w:val="0"/>
                <w:szCs w:val="21"/>
              </w:rPr>
            </w:pPr>
            <w:r>
              <w:rPr>
                <w:rFonts w:hint="eastAsia" w:ascii="宋体" w:hAnsi="宋体" w:eastAsia="宋体" w:cs="宋体"/>
                <w:b/>
                <w:bCs/>
                <w:color w:val="000000"/>
                <w:kern w:val="0"/>
                <w:szCs w:val="21"/>
              </w:rPr>
              <w:t>子模块名称</w:t>
            </w:r>
          </w:p>
        </w:tc>
        <w:tc>
          <w:tcPr>
            <w:tcW w:w="2551" w:type="pct"/>
            <w:tcBorders>
              <w:top w:val="single" w:color="000000" w:sz="4" w:space="0"/>
              <w:left w:val="single" w:color="000000" w:sz="4" w:space="0"/>
              <w:bottom w:val="single" w:color="000000" w:sz="4" w:space="0"/>
              <w:right w:val="single" w:color="000000" w:sz="4" w:space="0"/>
            </w:tcBorders>
            <w:vAlign w:val="center"/>
          </w:tcPr>
          <w:p w14:paraId="29129F12">
            <w:pPr>
              <w:widowControl/>
              <w:jc w:val="center"/>
              <w:rPr>
                <w:rFonts w:ascii="宋体" w:hAnsi="宋体" w:eastAsia="宋体" w:cs="宋体"/>
                <w:b/>
                <w:bCs/>
                <w:color w:val="000000"/>
                <w:kern w:val="0"/>
                <w:szCs w:val="21"/>
              </w:rPr>
            </w:pPr>
            <w:r>
              <w:rPr>
                <w:rFonts w:hint="eastAsia" w:ascii="宋体" w:hAnsi="宋体" w:eastAsia="宋体" w:cs="宋体"/>
                <w:b/>
                <w:bCs/>
                <w:color w:val="000000"/>
                <w:kern w:val="0"/>
                <w:szCs w:val="21"/>
              </w:rPr>
              <w:t>内容说明</w:t>
            </w:r>
          </w:p>
        </w:tc>
        <w:tc>
          <w:tcPr>
            <w:tcW w:w="530" w:type="pct"/>
            <w:tcBorders>
              <w:top w:val="single" w:color="000000" w:sz="4" w:space="0"/>
              <w:left w:val="single" w:color="000000" w:sz="4" w:space="0"/>
              <w:bottom w:val="single" w:color="000000" w:sz="4" w:space="0"/>
              <w:right w:val="single" w:color="000000" w:sz="4" w:space="0"/>
            </w:tcBorders>
            <w:vAlign w:val="center"/>
          </w:tcPr>
          <w:p w14:paraId="4A28EDCC">
            <w:pPr>
              <w:jc w:val="center"/>
              <w:rPr>
                <w:rFonts w:ascii="宋体" w:hAnsi="宋体" w:eastAsia="宋体" w:cs="宋体"/>
                <w:b/>
                <w:bCs/>
                <w:color w:val="000000"/>
                <w:kern w:val="0"/>
                <w:szCs w:val="21"/>
              </w:rPr>
            </w:pPr>
            <w:r>
              <w:rPr>
                <w:rFonts w:hint="eastAsia" w:ascii="宋体" w:hAnsi="宋体" w:eastAsia="宋体" w:cs="宋体"/>
                <w:b/>
                <w:szCs w:val="21"/>
              </w:rPr>
              <w:t>是否偏离（无偏离/正偏离/负偏离）</w:t>
            </w:r>
          </w:p>
        </w:tc>
        <w:tc>
          <w:tcPr>
            <w:tcW w:w="590" w:type="pct"/>
            <w:tcBorders>
              <w:top w:val="single" w:color="000000" w:sz="4" w:space="0"/>
              <w:left w:val="single" w:color="000000" w:sz="4" w:space="0"/>
              <w:bottom w:val="single" w:color="000000" w:sz="4" w:space="0"/>
              <w:right w:val="single" w:color="000000" w:sz="4" w:space="0"/>
            </w:tcBorders>
            <w:vAlign w:val="center"/>
          </w:tcPr>
          <w:p w14:paraId="216CDFEA">
            <w:pPr>
              <w:jc w:val="center"/>
              <w:rPr>
                <w:rFonts w:ascii="宋体" w:hAnsi="宋体" w:eastAsia="宋体" w:cs="宋体"/>
                <w:b/>
                <w:bCs/>
                <w:color w:val="000000"/>
                <w:kern w:val="0"/>
                <w:szCs w:val="21"/>
              </w:rPr>
            </w:pPr>
            <w:r>
              <w:rPr>
                <w:rFonts w:hint="eastAsia" w:ascii="宋体" w:hAnsi="宋体" w:eastAsia="宋体" w:cs="宋体"/>
                <w:b/>
                <w:szCs w:val="21"/>
              </w:rPr>
              <w:t>偏离简述</w:t>
            </w:r>
          </w:p>
        </w:tc>
      </w:tr>
      <w:tr w14:paraId="0031CE1E">
        <w:tblPrEx>
          <w:tblCellMar>
            <w:top w:w="0" w:type="dxa"/>
            <w:left w:w="108" w:type="dxa"/>
            <w:bottom w:w="0" w:type="dxa"/>
            <w:right w:w="108" w:type="dxa"/>
          </w:tblCellMar>
        </w:tblPrEx>
        <w:trPr>
          <w:trHeight w:val="600" w:hRule="atLeast"/>
        </w:trPr>
        <w:tc>
          <w:tcPr>
            <w:tcW w:w="233" w:type="pct"/>
            <w:tcBorders>
              <w:top w:val="single" w:color="000000" w:sz="4" w:space="0"/>
              <w:left w:val="single" w:color="000000" w:sz="4" w:space="0"/>
              <w:bottom w:val="single" w:color="000000" w:sz="4" w:space="0"/>
              <w:right w:val="nil"/>
            </w:tcBorders>
            <w:vAlign w:val="center"/>
          </w:tcPr>
          <w:p w14:paraId="58163EC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w:t>
            </w:r>
          </w:p>
        </w:tc>
        <w:tc>
          <w:tcPr>
            <w:tcW w:w="294" w:type="pct"/>
            <w:vMerge w:val="restart"/>
            <w:tcBorders>
              <w:top w:val="single" w:color="000000" w:sz="4" w:space="0"/>
              <w:left w:val="single" w:color="000000" w:sz="4" w:space="0"/>
              <w:bottom w:val="single" w:color="000000" w:sz="4" w:space="0"/>
              <w:right w:val="single" w:color="000000" w:sz="4" w:space="0"/>
            </w:tcBorders>
            <w:vAlign w:val="center"/>
          </w:tcPr>
          <w:p w14:paraId="2E9E1807">
            <w:pPr>
              <w:widowControl/>
              <w:jc w:val="center"/>
              <w:rPr>
                <w:rFonts w:ascii="宋体" w:hAnsi="宋体" w:eastAsia="宋体" w:cs="宋体"/>
                <w:b/>
                <w:bCs/>
                <w:color w:val="000000"/>
                <w:kern w:val="0"/>
                <w:szCs w:val="21"/>
              </w:rPr>
            </w:pPr>
            <w:r>
              <w:rPr>
                <w:rFonts w:hint="eastAsia" w:ascii="宋体" w:hAnsi="宋体" w:eastAsia="宋体" w:cs="宋体"/>
                <w:b/>
                <w:bCs/>
                <w:color w:val="000000"/>
                <w:kern w:val="0"/>
                <w:szCs w:val="21"/>
              </w:rPr>
              <w:t>医生助手</w:t>
            </w:r>
          </w:p>
        </w:tc>
        <w:tc>
          <w:tcPr>
            <w:tcW w:w="369" w:type="pct"/>
            <w:tcBorders>
              <w:top w:val="single" w:color="000000" w:sz="4" w:space="0"/>
              <w:left w:val="single" w:color="000000" w:sz="4" w:space="0"/>
              <w:bottom w:val="single" w:color="000000" w:sz="4" w:space="0"/>
              <w:right w:val="single" w:color="000000" w:sz="4" w:space="0"/>
            </w:tcBorders>
            <w:vAlign w:val="center"/>
          </w:tcPr>
          <w:p w14:paraId="16981A3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分组模拟查询</w:t>
            </w:r>
          </w:p>
        </w:tc>
        <w:tc>
          <w:tcPr>
            <w:tcW w:w="429" w:type="pct"/>
            <w:tcBorders>
              <w:top w:val="single" w:color="000000" w:sz="4" w:space="0"/>
              <w:left w:val="single" w:color="000000" w:sz="4" w:space="0"/>
              <w:bottom w:val="single" w:color="000000" w:sz="4" w:space="0"/>
              <w:right w:val="single" w:color="000000" w:sz="4" w:space="0"/>
            </w:tcBorders>
            <w:vAlign w:val="center"/>
          </w:tcPr>
          <w:p w14:paraId="19E56E44">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模拟查询及重置</w:t>
            </w:r>
          </w:p>
        </w:tc>
        <w:tc>
          <w:tcPr>
            <w:tcW w:w="2551" w:type="pct"/>
            <w:tcBorders>
              <w:top w:val="single" w:color="000000" w:sz="4" w:space="0"/>
              <w:left w:val="single" w:color="000000" w:sz="4" w:space="0"/>
              <w:bottom w:val="single" w:color="000000" w:sz="4" w:space="0"/>
              <w:right w:val="single" w:color="000000" w:sz="4" w:space="0"/>
            </w:tcBorders>
            <w:vAlign w:val="center"/>
          </w:tcPr>
          <w:p w14:paraId="4583B6F8">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支持系统弹窗中，医生可以自由替换主要诊断、主要手术，增删调整次要诊断和次要手术，支持进行分组模拟，查看修订诊断和手术信息后的分组结果和结算结果，辅助医生事前判定，并支持数据重置。</w:t>
            </w:r>
          </w:p>
        </w:tc>
        <w:tc>
          <w:tcPr>
            <w:tcW w:w="530" w:type="pct"/>
            <w:tcBorders>
              <w:top w:val="single" w:color="000000" w:sz="4" w:space="0"/>
              <w:left w:val="single" w:color="000000" w:sz="4" w:space="0"/>
              <w:bottom w:val="single" w:color="000000" w:sz="4" w:space="0"/>
              <w:right w:val="single" w:color="000000" w:sz="4" w:space="0"/>
            </w:tcBorders>
            <w:vAlign w:val="center"/>
          </w:tcPr>
          <w:p w14:paraId="2EB0AB2A">
            <w:pPr>
              <w:widowControl/>
              <w:jc w:val="left"/>
              <w:rPr>
                <w:rFonts w:ascii="宋体" w:hAnsi="宋体" w:eastAsia="宋体" w:cs="宋体"/>
                <w:color w:val="000000"/>
                <w:kern w:val="0"/>
                <w:szCs w:val="21"/>
              </w:rPr>
            </w:pPr>
          </w:p>
        </w:tc>
        <w:tc>
          <w:tcPr>
            <w:tcW w:w="590" w:type="pct"/>
            <w:tcBorders>
              <w:top w:val="single" w:color="000000" w:sz="4" w:space="0"/>
              <w:left w:val="single" w:color="000000" w:sz="4" w:space="0"/>
              <w:bottom w:val="single" w:color="000000" w:sz="4" w:space="0"/>
              <w:right w:val="single" w:color="000000" w:sz="4" w:space="0"/>
            </w:tcBorders>
            <w:vAlign w:val="center"/>
          </w:tcPr>
          <w:p w14:paraId="04B35D48">
            <w:pPr>
              <w:widowControl/>
              <w:jc w:val="left"/>
              <w:rPr>
                <w:rFonts w:ascii="宋体" w:hAnsi="宋体" w:eastAsia="宋体" w:cs="宋体"/>
                <w:color w:val="000000"/>
                <w:kern w:val="0"/>
                <w:szCs w:val="21"/>
              </w:rPr>
            </w:pPr>
          </w:p>
        </w:tc>
      </w:tr>
      <w:tr w14:paraId="3A74033C">
        <w:tblPrEx>
          <w:tblCellMar>
            <w:top w:w="0" w:type="dxa"/>
            <w:left w:w="108" w:type="dxa"/>
            <w:bottom w:w="0" w:type="dxa"/>
            <w:right w:w="108" w:type="dxa"/>
          </w:tblCellMar>
        </w:tblPrEx>
        <w:trPr>
          <w:trHeight w:val="1500" w:hRule="atLeast"/>
        </w:trPr>
        <w:tc>
          <w:tcPr>
            <w:tcW w:w="233" w:type="pct"/>
            <w:tcBorders>
              <w:top w:val="single" w:color="000000" w:sz="4" w:space="0"/>
              <w:left w:val="single" w:color="000000" w:sz="4" w:space="0"/>
              <w:bottom w:val="single" w:color="000000" w:sz="4" w:space="0"/>
              <w:right w:val="nil"/>
            </w:tcBorders>
            <w:vAlign w:val="center"/>
          </w:tcPr>
          <w:p w14:paraId="4D8F3EA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2</w:t>
            </w:r>
          </w:p>
        </w:tc>
        <w:tc>
          <w:tcPr>
            <w:tcW w:w="294" w:type="pct"/>
            <w:vMerge w:val="continue"/>
            <w:tcBorders>
              <w:top w:val="single" w:color="000000" w:sz="4" w:space="0"/>
              <w:left w:val="single" w:color="000000" w:sz="4" w:space="0"/>
              <w:bottom w:val="single" w:color="000000" w:sz="4" w:space="0"/>
              <w:right w:val="single" w:color="000000" w:sz="4" w:space="0"/>
            </w:tcBorders>
            <w:vAlign w:val="center"/>
          </w:tcPr>
          <w:p w14:paraId="2D77D7FE">
            <w:pPr>
              <w:widowControl/>
              <w:jc w:val="left"/>
              <w:rPr>
                <w:rFonts w:ascii="宋体" w:hAnsi="宋体" w:eastAsia="宋体" w:cs="宋体"/>
                <w:b/>
                <w:bCs/>
                <w:color w:val="000000"/>
                <w:kern w:val="0"/>
                <w:szCs w:val="21"/>
              </w:rPr>
            </w:pPr>
          </w:p>
        </w:tc>
        <w:tc>
          <w:tcPr>
            <w:tcW w:w="369" w:type="pct"/>
            <w:vMerge w:val="restart"/>
            <w:tcBorders>
              <w:top w:val="single" w:color="000000" w:sz="4" w:space="0"/>
              <w:left w:val="single" w:color="000000" w:sz="4" w:space="0"/>
              <w:bottom w:val="single" w:color="000000" w:sz="4" w:space="0"/>
              <w:right w:val="single" w:color="000000" w:sz="4" w:space="0"/>
            </w:tcBorders>
            <w:vAlign w:val="center"/>
          </w:tcPr>
          <w:p w14:paraId="3509F30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实时分组预警</w:t>
            </w:r>
          </w:p>
        </w:tc>
        <w:tc>
          <w:tcPr>
            <w:tcW w:w="429" w:type="pct"/>
            <w:tcBorders>
              <w:top w:val="single" w:color="000000" w:sz="4" w:space="0"/>
              <w:left w:val="single" w:color="000000" w:sz="4" w:space="0"/>
              <w:bottom w:val="single" w:color="000000" w:sz="4" w:space="0"/>
              <w:right w:val="single" w:color="000000" w:sz="4" w:space="0"/>
            </w:tcBorders>
            <w:vAlign w:val="center"/>
          </w:tcPr>
          <w:p w14:paraId="434C6507">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动态分组管控</w:t>
            </w:r>
          </w:p>
        </w:tc>
        <w:tc>
          <w:tcPr>
            <w:tcW w:w="2551" w:type="pct"/>
            <w:tcBorders>
              <w:top w:val="single" w:color="000000" w:sz="4" w:space="0"/>
              <w:left w:val="single" w:color="000000" w:sz="4" w:space="0"/>
              <w:bottom w:val="single" w:color="000000" w:sz="4" w:space="0"/>
              <w:right w:val="single" w:color="000000" w:sz="4" w:space="0"/>
            </w:tcBorders>
            <w:vAlign w:val="center"/>
          </w:tcPr>
          <w:p w14:paraId="0C3AD294">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根据患者住院的诊疗信息预测分组结果，结合当地政策信息，生成医院病种参考值和费用预警信息；通过可视化图示，直观有效的展示病例类型及费用预警结果；对低倍率、标准值、高倍率的界值进行展示，对患者当前诊疗费用结构和明细数据进行展示，并与标杆值做对比，提供给医生进行费用参考。</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结合当地结算政策做相应的功能可配置展示，如除外费用补偿、床日结算病例等。</w:t>
            </w:r>
          </w:p>
        </w:tc>
        <w:tc>
          <w:tcPr>
            <w:tcW w:w="530" w:type="pct"/>
            <w:tcBorders>
              <w:top w:val="single" w:color="000000" w:sz="4" w:space="0"/>
              <w:left w:val="single" w:color="000000" w:sz="4" w:space="0"/>
              <w:bottom w:val="single" w:color="000000" w:sz="4" w:space="0"/>
              <w:right w:val="single" w:color="000000" w:sz="4" w:space="0"/>
            </w:tcBorders>
            <w:vAlign w:val="center"/>
          </w:tcPr>
          <w:p w14:paraId="10100D6D">
            <w:pPr>
              <w:widowControl/>
              <w:jc w:val="left"/>
              <w:rPr>
                <w:rFonts w:ascii="宋体" w:hAnsi="宋体" w:eastAsia="宋体" w:cs="宋体"/>
                <w:color w:val="000000"/>
                <w:kern w:val="0"/>
                <w:szCs w:val="21"/>
              </w:rPr>
            </w:pPr>
          </w:p>
        </w:tc>
        <w:tc>
          <w:tcPr>
            <w:tcW w:w="590" w:type="pct"/>
            <w:tcBorders>
              <w:top w:val="single" w:color="000000" w:sz="4" w:space="0"/>
              <w:left w:val="single" w:color="000000" w:sz="4" w:space="0"/>
              <w:bottom w:val="single" w:color="000000" w:sz="4" w:space="0"/>
              <w:right w:val="single" w:color="000000" w:sz="4" w:space="0"/>
            </w:tcBorders>
            <w:vAlign w:val="center"/>
          </w:tcPr>
          <w:p w14:paraId="562C7C87">
            <w:pPr>
              <w:widowControl/>
              <w:jc w:val="left"/>
              <w:rPr>
                <w:rFonts w:ascii="宋体" w:hAnsi="宋体" w:eastAsia="宋体" w:cs="宋体"/>
                <w:color w:val="000000"/>
                <w:kern w:val="0"/>
                <w:szCs w:val="21"/>
              </w:rPr>
            </w:pPr>
          </w:p>
        </w:tc>
      </w:tr>
      <w:tr w14:paraId="585C7D35">
        <w:tblPrEx>
          <w:tblCellMar>
            <w:top w:w="0" w:type="dxa"/>
            <w:left w:w="108" w:type="dxa"/>
            <w:bottom w:w="0" w:type="dxa"/>
            <w:right w:w="108" w:type="dxa"/>
          </w:tblCellMar>
        </w:tblPrEx>
        <w:trPr>
          <w:trHeight w:val="900" w:hRule="atLeast"/>
        </w:trPr>
        <w:tc>
          <w:tcPr>
            <w:tcW w:w="233" w:type="pct"/>
            <w:tcBorders>
              <w:top w:val="single" w:color="000000" w:sz="4" w:space="0"/>
              <w:left w:val="single" w:color="000000" w:sz="4" w:space="0"/>
              <w:bottom w:val="single" w:color="000000" w:sz="4" w:space="0"/>
              <w:right w:val="nil"/>
            </w:tcBorders>
            <w:vAlign w:val="center"/>
          </w:tcPr>
          <w:p w14:paraId="0507325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w:t>
            </w:r>
          </w:p>
        </w:tc>
        <w:tc>
          <w:tcPr>
            <w:tcW w:w="294" w:type="pct"/>
            <w:vMerge w:val="continue"/>
            <w:tcBorders>
              <w:top w:val="single" w:color="000000" w:sz="4" w:space="0"/>
              <w:left w:val="single" w:color="000000" w:sz="4" w:space="0"/>
              <w:bottom w:val="single" w:color="000000" w:sz="4" w:space="0"/>
              <w:right w:val="single" w:color="000000" w:sz="4" w:space="0"/>
            </w:tcBorders>
            <w:vAlign w:val="center"/>
          </w:tcPr>
          <w:p w14:paraId="756B6999">
            <w:pPr>
              <w:widowControl/>
              <w:jc w:val="left"/>
              <w:rPr>
                <w:rFonts w:ascii="宋体" w:hAnsi="宋体" w:eastAsia="宋体" w:cs="宋体"/>
                <w:b/>
                <w:bCs/>
                <w:color w:val="000000"/>
                <w:kern w:val="0"/>
                <w:szCs w:val="21"/>
              </w:rPr>
            </w:pPr>
          </w:p>
        </w:tc>
        <w:tc>
          <w:tcPr>
            <w:tcW w:w="369" w:type="pct"/>
            <w:vMerge w:val="continue"/>
            <w:tcBorders>
              <w:top w:val="single" w:color="000000" w:sz="4" w:space="0"/>
              <w:left w:val="single" w:color="000000" w:sz="4" w:space="0"/>
              <w:bottom w:val="single" w:color="000000" w:sz="4" w:space="0"/>
              <w:right w:val="single" w:color="000000" w:sz="4" w:space="0"/>
            </w:tcBorders>
            <w:vAlign w:val="center"/>
          </w:tcPr>
          <w:p w14:paraId="65A313FC">
            <w:pPr>
              <w:widowControl/>
              <w:jc w:val="left"/>
              <w:rPr>
                <w:rFonts w:ascii="宋体" w:hAnsi="宋体" w:eastAsia="宋体" w:cs="宋体"/>
                <w:color w:val="000000"/>
                <w:kern w:val="0"/>
                <w:szCs w:val="21"/>
              </w:rPr>
            </w:pPr>
          </w:p>
        </w:tc>
        <w:tc>
          <w:tcPr>
            <w:tcW w:w="429" w:type="pct"/>
            <w:tcBorders>
              <w:top w:val="single" w:color="000000" w:sz="4" w:space="0"/>
              <w:left w:val="single" w:color="000000" w:sz="4" w:space="0"/>
              <w:bottom w:val="single" w:color="000000" w:sz="4" w:space="0"/>
              <w:right w:val="single" w:color="000000" w:sz="4" w:space="0"/>
            </w:tcBorders>
            <w:vAlign w:val="center"/>
          </w:tcPr>
          <w:p w14:paraId="0FA50A23">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结算指标参考</w:t>
            </w:r>
          </w:p>
        </w:tc>
        <w:tc>
          <w:tcPr>
            <w:tcW w:w="2551" w:type="pct"/>
            <w:tcBorders>
              <w:top w:val="single" w:color="000000" w:sz="4" w:space="0"/>
              <w:left w:val="single" w:color="000000" w:sz="4" w:space="0"/>
              <w:bottom w:val="single" w:color="000000" w:sz="4" w:space="0"/>
              <w:right w:val="single" w:color="000000" w:sz="4" w:space="0"/>
            </w:tcBorders>
            <w:vAlign w:val="center"/>
          </w:tcPr>
          <w:p w14:paraId="5299BBB4">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支持根据医保付费政策设定判定逻辑，结合实时动态分组结果和病例住院总费用，综合判定病例的病种均费、基准点数、调整系数、病例类型、DIP费用标准、费用比例、标准差额、预测费用、预测盈亏等情况。</w:t>
            </w:r>
          </w:p>
        </w:tc>
        <w:tc>
          <w:tcPr>
            <w:tcW w:w="530" w:type="pct"/>
            <w:tcBorders>
              <w:top w:val="single" w:color="000000" w:sz="4" w:space="0"/>
              <w:left w:val="single" w:color="000000" w:sz="4" w:space="0"/>
              <w:bottom w:val="single" w:color="000000" w:sz="4" w:space="0"/>
              <w:right w:val="single" w:color="000000" w:sz="4" w:space="0"/>
            </w:tcBorders>
            <w:vAlign w:val="center"/>
          </w:tcPr>
          <w:p w14:paraId="239312C8">
            <w:pPr>
              <w:widowControl/>
              <w:jc w:val="left"/>
              <w:rPr>
                <w:rFonts w:ascii="宋体" w:hAnsi="宋体" w:eastAsia="宋体" w:cs="宋体"/>
                <w:color w:val="000000"/>
                <w:kern w:val="0"/>
                <w:szCs w:val="21"/>
              </w:rPr>
            </w:pPr>
          </w:p>
        </w:tc>
        <w:tc>
          <w:tcPr>
            <w:tcW w:w="590" w:type="pct"/>
            <w:tcBorders>
              <w:top w:val="single" w:color="000000" w:sz="4" w:space="0"/>
              <w:left w:val="single" w:color="000000" w:sz="4" w:space="0"/>
              <w:bottom w:val="single" w:color="000000" w:sz="4" w:space="0"/>
              <w:right w:val="single" w:color="000000" w:sz="4" w:space="0"/>
            </w:tcBorders>
            <w:vAlign w:val="center"/>
          </w:tcPr>
          <w:p w14:paraId="7F6FF3DA">
            <w:pPr>
              <w:widowControl/>
              <w:jc w:val="left"/>
              <w:rPr>
                <w:rFonts w:ascii="宋体" w:hAnsi="宋体" w:eastAsia="宋体" w:cs="宋体"/>
                <w:color w:val="000000"/>
                <w:kern w:val="0"/>
                <w:szCs w:val="21"/>
              </w:rPr>
            </w:pPr>
          </w:p>
        </w:tc>
      </w:tr>
      <w:tr w14:paraId="1D433390">
        <w:tblPrEx>
          <w:tblCellMar>
            <w:top w:w="0" w:type="dxa"/>
            <w:left w:w="108" w:type="dxa"/>
            <w:bottom w:w="0" w:type="dxa"/>
            <w:right w:w="108" w:type="dxa"/>
          </w:tblCellMar>
        </w:tblPrEx>
        <w:trPr>
          <w:trHeight w:val="600" w:hRule="atLeast"/>
        </w:trPr>
        <w:tc>
          <w:tcPr>
            <w:tcW w:w="233" w:type="pct"/>
            <w:tcBorders>
              <w:top w:val="single" w:color="000000" w:sz="4" w:space="0"/>
              <w:left w:val="single" w:color="000000" w:sz="4" w:space="0"/>
              <w:bottom w:val="single" w:color="000000" w:sz="4" w:space="0"/>
              <w:right w:val="nil"/>
            </w:tcBorders>
            <w:vAlign w:val="center"/>
          </w:tcPr>
          <w:p w14:paraId="26BDF79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4</w:t>
            </w:r>
          </w:p>
        </w:tc>
        <w:tc>
          <w:tcPr>
            <w:tcW w:w="294" w:type="pct"/>
            <w:vMerge w:val="continue"/>
            <w:tcBorders>
              <w:top w:val="single" w:color="000000" w:sz="4" w:space="0"/>
              <w:left w:val="single" w:color="000000" w:sz="4" w:space="0"/>
              <w:bottom w:val="single" w:color="000000" w:sz="4" w:space="0"/>
              <w:right w:val="single" w:color="000000" w:sz="4" w:space="0"/>
            </w:tcBorders>
            <w:vAlign w:val="center"/>
          </w:tcPr>
          <w:p w14:paraId="6AF6A890">
            <w:pPr>
              <w:widowControl/>
              <w:jc w:val="left"/>
              <w:rPr>
                <w:rFonts w:ascii="宋体" w:hAnsi="宋体" w:eastAsia="宋体" w:cs="宋体"/>
                <w:b/>
                <w:bCs/>
                <w:color w:val="000000"/>
                <w:kern w:val="0"/>
                <w:szCs w:val="21"/>
              </w:rPr>
            </w:pPr>
          </w:p>
        </w:tc>
        <w:tc>
          <w:tcPr>
            <w:tcW w:w="369" w:type="pct"/>
            <w:vMerge w:val="continue"/>
            <w:tcBorders>
              <w:top w:val="single" w:color="000000" w:sz="4" w:space="0"/>
              <w:left w:val="single" w:color="000000" w:sz="4" w:space="0"/>
              <w:bottom w:val="single" w:color="000000" w:sz="4" w:space="0"/>
              <w:right w:val="single" w:color="000000" w:sz="4" w:space="0"/>
            </w:tcBorders>
            <w:vAlign w:val="center"/>
          </w:tcPr>
          <w:p w14:paraId="1CE3F0F1">
            <w:pPr>
              <w:widowControl/>
              <w:jc w:val="left"/>
              <w:rPr>
                <w:rFonts w:ascii="宋体" w:hAnsi="宋体" w:eastAsia="宋体" w:cs="宋体"/>
                <w:color w:val="000000"/>
                <w:kern w:val="0"/>
                <w:szCs w:val="21"/>
              </w:rPr>
            </w:pPr>
          </w:p>
        </w:tc>
        <w:tc>
          <w:tcPr>
            <w:tcW w:w="429" w:type="pct"/>
            <w:tcBorders>
              <w:top w:val="single" w:color="000000" w:sz="4" w:space="0"/>
              <w:left w:val="single" w:color="000000" w:sz="4" w:space="0"/>
              <w:bottom w:val="single" w:color="000000" w:sz="4" w:space="0"/>
              <w:right w:val="single" w:color="000000" w:sz="4" w:space="0"/>
            </w:tcBorders>
            <w:vAlign w:val="center"/>
          </w:tcPr>
          <w:p w14:paraId="63D9D005">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历史病组数据分析</w:t>
            </w:r>
          </w:p>
        </w:tc>
        <w:tc>
          <w:tcPr>
            <w:tcW w:w="2551" w:type="pct"/>
            <w:tcBorders>
              <w:top w:val="single" w:color="000000" w:sz="4" w:space="0"/>
              <w:left w:val="single" w:color="000000" w:sz="4" w:space="0"/>
              <w:bottom w:val="single" w:color="000000" w:sz="4" w:space="0"/>
              <w:right w:val="single" w:color="000000" w:sz="4" w:space="0"/>
            </w:tcBorders>
            <w:vAlign w:val="center"/>
          </w:tcPr>
          <w:p w14:paraId="3363C517">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产品提供该病例所在病组的上月度数据分析结果，给医生做诊疗和结算参考。</w:t>
            </w:r>
          </w:p>
        </w:tc>
        <w:tc>
          <w:tcPr>
            <w:tcW w:w="530" w:type="pct"/>
            <w:tcBorders>
              <w:top w:val="single" w:color="000000" w:sz="4" w:space="0"/>
              <w:left w:val="single" w:color="000000" w:sz="4" w:space="0"/>
              <w:bottom w:val="single" w:color="000000" w:sz="4" w:space="0"/>
              <w:right w:val="single" w:color="000000" w:sz="4" w:space="0"/>
            </w:tcBorders>
            <w:vAlign w:val="center"/>
          </w:tcPr>
          <w:p w14:paraId="56563F3E">
            <w:pPr>
              <w:widowControl/>
              <w:jc w:val="left"/>
              <w:rPr>
                <w:rFonts w:ascii="宋体" w:hAnsi="宋体" w:eastAsia="宋体" w:cs="宋体"/>
                <w:color w:val="000000"/>
                <w:kern w:val="0"/>
                <w:szCs w:val="21"/>
              </w:rPr>
            </w:pPr>
          </w:p>
        </w:tc>
        <w:tc>
          <w:tcPr>
            <w:tcW w:w="590" w:type="pct"/>
            <w:tcBorders>
              <w:top w:val="single" w:color="000000" w:sz="4" w:space="0"/>
              <w:left w:val="single" w:color="000000" w:sz="4" w:space="0"/>
              <w:bottom w:val="single" w:color="000000" w:sz="4" w:space="0"/>
              <w:right w:val="single" w:color="000000" w:sz="4" w:space="0"/>
            </w:tcBorders>
            <w:vAlign w:val="center"/>
          </w:tcPr>
          <w:p w14:paraId="517F169A">
            <w:pPr>
              <w:widowControl/>
              <w:jc w:val="left"/>
              <w:rPr>
                <w:rFonts w:ascii="宋体" w:hAnsi="宋体" w:eastAsia="宋体" w:cs="宋体"/>
                <w:color w:val="000000"/>
                <w:kern w:val="0"/>
                <w:szCs w:val="21"/>
              </w:rPr>
            </w:pPr>
          </w:p>
        </w:tc>
      </w:tr>
      <w:tr w14:paraId="2E46232C">
        <w:tblPrEx>
          <w:tblCellMar>
            <w:top w:w="0" w:type="dxa"/>
            <w:left w:w="108" w:type="dxa"/>
            <w:bottom w:w="0" w:type="dxa"/>
            <w:right w:w="108" w:type="dxa"/>
          </w:tblCellMar>
        </w:tblPrEx>
        <w:trPr>
          <w:trHeight w:val="300" w:hRule="atLeast"/>
        </w:trPr>
        <w:tc>
          <w:tcPr>
            <w:tcW w:w="233" w:type="pct"/>
            <w:tcBorders>
              <w:top w:val="single" w:color="000000" w:sz="4" w:space="0"/>
              <w:left w:val="single" w:color="000000" w:sz="4" w:space="0"/>
              <w:bottom w:val="single" w:color="000000" w:sz="4" w:space="0"/>
              <w:right w:val="nil"/>
            </w:tcBorders>
            <w:vAlign w:val="center"/>
          </w:tcPr>
          <w:p w14:paraId="525A314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5</w:t>
            </w:r>
          </w:p>
        </w:tc>
        <w:tc>
          <w:tcPr>
            <w:tcW w:w="294" w:type="pct"/>
            <w:vMerge w:val="continue"/>
            <w:tcBorders>
              <w:top w:val="single" w:color="000000" w:sz="4" w:space="0"/>
              <w:left w:val="single" w:color="000000" w:sz="4" w:space="0"/>
              <w:bottom w:val="single" w:color="000000" w:sz="4" w:space="0"/>
              <w:right w:val="single" w:color="000000" w:sz="4" w:space="0"/>
            </w:tcBorders>
            <w:vAlign w:val="center"/>
          </w:tcPr>
          <w:p w14:paraId="644589DC">
            <w:pPr>
              <w:widowControl/>
              <w:jc w:val="left"/>
              <w:rPr>
                <w:rFonts w:ascii="宋体" w:hAnsi="宋体" w:eastAsia="宋体" w:cs="宋体"/>
                <w:b/>
                <w:bCs/>
                <w:color w:val="000000"/>
                <w:kern w:val="0"/>
                <w:szCs w:val="21"/>
              </w:rPr>
            </w:pPr>
          </w:p>
        </w:tc>
        <w:tc>
          <w:tcPr>
            <w:tcW w:w="369" w:type="pct"/>
            <w:vMerge w:val="continue"/>
            <w:tcBorders>
              <w:top w:val="single" w:color="000000" w:sz="4" w:space="0"/>
              <w:left w:val="single" w:color="000000" w:sz="4" w:space="0"/>
              <w:bottom w:val="single" w:color="000000" w:sz="4" w:space="0"/>
              <w:right w:val="single" w:color="000000" w:sz="4" w:space="0"/>
            </w:tcBorders>
            <w:vAlign w:val="center"/>
          </w:tcPr>
          <w:p w14:paraId="2D0E5318">
            <w:pPr>
              <w:widowControl/>
              <w:jc w:val="left"/>
              <w:rPr>
                <w:rFonts w:ascii="宋体" w:hAnsi="宋体" w:eastAsia="宋体" w:cs="宋体"/>
                <w:color w:val="000000"/>
                <w:kern w:val="0"/>
                <w:szCs w:val="21"/>
              </w:rPr>
            </w:pPr>
          </w:p>
        </w:tc>
        <w:tc>
          <w:tcPr>
            <w:tcW w:w="429" w:type="pct"/>
            <w:tcBorders>
              <w:top w:val="single" w:color="000000" w:sz="4" w:space="0"/>
              <w:left w:val="single" w:color="000000" w:sz="4" w:space="0"/>
              <w:bottom w:val="single" w:color="000000" w:sz="4" w:space="0"/>
              <w:right w:val="single" w:color="000000" w:sz="4" w:space="0"/>
            </w:tcBorders>
            <w:vAlign w:val="center"/>
          </w:tcPr>
          <w:p w14:paraId="70F89473">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智能提醒</w:t>
            </w:r>
          </w:p>
        </w:tc>
        <w:tc>
          <w:tcPr>
            <w:tcW w:w="2551" w:type="pct"/>
            <w:tcBorders>
              <w:top w:val="single" w:color="000000" w:sz="4" w:space="0"/>
              <w:left w:val="single" w:color="000000" w:sz="4" w:space="0"/>
              <w:bottom w:val="single" w:color="000000" w:sz="4" w:space="0"/>
              <w:right w:val="single" w:color="000000" w:sz="4" w:space="0"/>
            </w:tcBorders>
            <w:vAlign w:val="center"/>
          </w:tcPr>
          <w:p w14:paraId="17160E55">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对医生填写的诊疗数据及患者基础信息数据，进行串联质控，通过文字描述，数据风险及违规事项。</w:t>
            </w:r>
          </w:p>
        </w:tc>
        <w:tc>
          <w:tcPr>
            <w:tcW w:w="530" w:type="pct"/>
            <w:tcBorders>
              <w:top w:val="single" w:color="000000" w:sz="4" w:space="0"/>
              <w:left w:val="single" w:color="000000" w:sz="4" w:space="0"/>
              <w:bottom w:val="single" w:color="000000" w:sz="4" w:space="0"/>
              <w:right w:val="single" w:color="000000" w:sz="4" w:space="0"/>
            </w:tcBorders>
            <w:vAlign w:val="center"/>
          </w:tcPr>
          <w:p w14:paraId="4EF9D41A">
            <w:pPr>
              <w:widowControl/>
              <w:jc w:val="left"/>
              <w:rPr>
                <w:rFonts w:ascii="宋体" w:hAnsi="宋体" w:eastAsia="宋体" w:cs="宋体"/>
                <w:color w:val="000000"/>
                <w:kern w:val="0"/>
                <w:szCs w:val="21"/>
              </w:rPr>
            </w:pPr>
          </w:p>
        </w:tc>
        <w:tc>
          <w:tcPr>
            <w:tcW w:w="590" w:type="pct"/>
            <w:tcBorders>
              <w:top w:val="single" w:color="000000" w:sz="4" w:space="0"/>
              <w:left w:val="single" w:color="000000" w:sz="4" w:space="0"/>
              <w:bottom w:val="single" w:color="000000" w:sz="4" w:space="0"/>
              <w:right w:val="single" w:color="000000" w:sz="4" w:space="0"/>
            </w:tcBorders>
            <w:vAlign w:val="center"/>
          </w:tcPr>
          <w:p w14:paraId="40B69A23">
            <w:pPr>
              <w:widowControl/>
              <w:jc w:val="left"/>
              <w:rPr>
                <w:rFonts w:ascii="宋体" w:hAnsi="宋体" w:eastAsia="宋体" w:cs="宋体"/>
                <w:color w:val="000000"/>
                <w:kern w:val="0"/>
                <w:szCs w:val="21"/>
              </w:rPr>
            </w:pPr>
          </w:p>
        </w:tc>
      </w:tr>
      <w:tr w14:paraId="5ED92628">
        <w:tblPrEx>
          <w:tblCellMar>
            <w:top w:w="0" w:type="dxa"/>
            <w:left w:w="108" w:type="dxa"/>
            <w:bottom w:w="0" w:type="dxa"/>
            <w:right w:w="108" w:type="dxa"/>
          </w:tblCellMar>
        </w:tblPrEx>
        <w:trPr>
          <w:trHeight w:val="900" w:hRule="atLeast"/>
        </w:trPr>
        <w:tc>
          <w:tcPr>
            <w:tcW w:w="233" w:type="pct"/>
            <w:tcBorders>
              <w:top w:val="single" w:color="000000" w:sz="4" w:space="0"/>
              <w:left w:val="single" w:color="000000" w:sz="4" w:space="0"/>
              <w:bottom w:val="single" w:color="000000" w:sz="4" w:space="0"/>
              <w:right w:val="nil"/>
            </w:tcBorders>
            <w:vAlign w:val="center"/>
          </w:tcPr>
          <w:p w14:paraId="5E3256F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6</w:t>
            </w:r>
          </w:p>
        </w:tc>
        <w:tc>
          <w:tcPr>
            <w:tcW w:w="294" w:type="pct"/>
            <w:vMerge w:val="continue"/>
            <w:tcBorders>
              <w:top w:val="single" w:color="000000" w:sz="4" w:space="0"/>
              <w:left w:val="single" w:color="000000" w:sz="4" w:space="0"/>
              <w:bottom w:val="single" w:color="000000" w:sz="4" w:space="0"/>
              <w:right w:val="single" w:color="000000" w:sz="4" w:space="0"/>
            </w:tcBorders>
            <w:vAlign w:val="center"/>
          </w:tcPr>
          <w:p w14:paraId="6A99AF1D">
            <w:pPr>
              <w:widowControl/>
              <w:jc w:val="left"/>
              <w:rPr>
                <w:rFonts w:ascii="宋体" w:hAnsi="宋体" w:eastAsia="宋体" w:cs="宋体"/>
                <w:b/>
                <w:bCs/>
                <w:color w:val="000000"/>
                <w:kern w:val="0"/>
                <w:szCs w:val="21"/>
              </w:rPr>
            </w:pPr>
          </w:p>
        </w:tc>
        <w:tc>
          <w:tcPr>
            <w:tcW w:w="369" w:type="pct"/>
            <w:tcBorders>
              <w:top w:val="single" w:color="000000" w:sz="4" w:space="0"/>
              <w:left w:val="single" w:color="000000" w:sz="4" w:space="0"/>
              <w:bottom w:val="single" w:color="000000" w:sz="4" w:space="0"/>
              <w:right w:val="single" w:color="000000" w:sz="4" w:space="0"/>
            </w:tcBorders>
            <w:vAlign w:val="center"/>
          </w:tcPr>
          <w:p w14:paraId="721FF9E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分组数据治理</w:t>
            </w:r>
          </w:p>
        </w:tc>
        <w:tc>
          <w:tcPr>
            <w:tcW w:w="429" w:type="pct"/>
            <w:tcBorders>
              <w:top w:val="single" w:color="000000" w:sz="4" w:space="0"/>
              <w:left w:val="single" w:color="000000" w:sz="4" w:space="0"/>
              <w:bottom w:val="single" w:color="000000" w:sz="4" w:space="0"/>
              <w:right w:val="single" w:color="000000" w:sz="4" w:space="0"/>
            </w:tcBorders>
            <w:vAlign w:val="center"/>
          </w:tcPr>
          <w:p w14:paraId="4807F0A3">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分组数据治理</w:t>
            </w:r>
          </w:p>
        </w:tc>
        <w:tc>
          <w:tcPr>
            <w:tcW w:w="2551" w:type="pct"/>
            <w:tcBorders>
              <w:top w:val="single" w:color="000000" w:sz="4" w:space="0"/>
              <w:left w:val="single" w:color="000000" w:sz="4" w:space="0"/>
              <w:bottom w:val="single" w:color="000000" w:sz="4" w:space="0"/>
              <w:right w:val="single" w:color="000000" w:sz="4" w:space="0"/>
            </w:tcBorders>
            <w:vAlign w:val="center"/>
          </w:tcPr>
          <w:p w14:paraId="7D47A056">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提供产品根据上传信息中已填写的诊断与手术进行测评，并加入分组筛选逻辑，通过分组引擎排除异常结果，将校对后的结果进行判定及治理推荐，快速定位可能存在的诊断和手术信息倒置问题，及时发现结算金额更合理的主诊断与主手术组合，并智能提醒。</w:t>
            </w:r>
          </w:p>
        </w:tc>
        <w:tc>
          <w:tcPr>
            <w:tcW w:w="530" w:type="pct"/>
            <w:tcBorders>
              <w:top w:val="single" w:color="000000" w:sz="4" w:space="0"/>
              <w:left w:val="single" w:color="000000" w:sz="4" w:space="0"/>
              <w:bottom w:val="single" w:color="000000" w:sz="4" w:space="0"/>
              <w:right w:val="single" w:color="000000" w:sz="4" w:space="0"/>
            </w:tcBorders>
            <w:vAlign w:val="center"/>
          </w:tcPr>
          <w:p w14:paraId="74BD712C">
            <w:pPr>
              <w:widowControl/>
              <w:jc w:val="left"/>
              <w:rPr>
                <w:rFonts w:ascii="宋体" w:hAnsi="宋体" w:eastAsia="宋体" w:cs="宋体"/>
                <w:color w:val="000000"/>
                <w:kern w:val="0"/>
                <w:szCs w:val="21"/>
              </w:rPr>
            </w:pPr>
          </w:p>
        </w:tc>
        <w:tc>
          <w:tcPr>
            <w:tcW w:w="590" w:type="pct"/>
            <w:tcBorders>
              <w:top w:val="single" w:color="000000" w:sz="4" w:space="0"/>
              <w:left w:val="single" w:color="000000" w:sz="4" w:space="0"/>
              <w:bottom w:val="single" w:color="000000" w:sz="4" w:space="0"/>
              <w:right w:val="single" w:color="000000" w:sz="4" w:space="0"/>
            </w:tcBorders>
            <w:vAlign w:val="center"/>
          </w:tcPr>
          <w:p w14:paraId="39466FD8">
            <w:pPr>
              <w:widowControl/>
              <w:jc w:val="left"/>
              <w:rPr>
                <w:rFonts w:ascii="宋体" w:hAnsi="宋体" w:eastAsia="宋体" w:cs="宋体"/>
                <w:color w:val="000000"/>
                <w:kern w:val="0"/>
                <w:szCs w:val="21"/>
              </w:rPr>
            </w:pPr>
          </w:p>
        </w:tc>
      </w:tr>
      <w:tr w14:paraId="69F86AA3">
        <w:tblPrEx>
          <w:tblCellMar>
            <w:top w:w="0" w:type="dxa"/>
            <w:left w:w="108" w:type="dxa"/>
            <w:bottom w:w="0" w:type="dxa"/>
            <w:right w:w="108" w:type="dxa"/>
          </w:tblCellMar>
        </w:tblPrEx>
        <w:trPr>
          <w:trHeight w:val="600" w:hRule="atLeast"/>
        </w:trPr>
        <w:tc>
          <w:tcPr>
            <w:tcW w:w="233" w:type="pct"/>
            <w:tcBorders>
              <w:top w:val="single" w:color="000000" w:sz="4" w:space="0"/>
              <w:left w:val="single" w:color="000000" w:sz="4" w:space="0"/>
              <w:bottom w:val="single" w:color="000000" w:sz="4" w:space="0"/>
              <w:right w:val="nil"/>
            </w:tcBorders>
            <w:vAlign w:val="center"/>
          </w:tcPr>
          <w:p w14:paraId="301EA07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7</w:t>
            </w:r>
          </w:p>
        </w:tc>
        <w:tc>
          <w:tcPr>
            <w:tcW w:w="294" w:type="pct"/>
            <w:vMerge w:val="continue"/>
            <w:tcBorders>
              <w:top w:val="single" w:color="000000" w:sz="4" w:space="0"/>
              <w:left w:val="single" w:color="000000" w:sz="4" w:space="0"/>
              <w:bottom w:val="single" w:color="000000" w:sz="4" w:space="0"/>
              <w:right w:val="single" w:color="000000" w:sz="4" w:space="0"/>
            </w:tcBorders>
            <w:vAlign w:val="center"/>
          </w:tcPr>
          <w:p w14:paraId="5E0B0579">
            <w:pPr>
              <w:widowControl/>
              <w:jc w:val="left"/>
              <w:rPr>
                <w:rFonts w:ascii="宋体" w:hAnsi="宋体" w:eastAsia="宋体" w:cs="宋体"/>
                <w:b/>
                <w:bCs/>
                <w:color w:val="000000"/>
                <w:kern w:val="0"/>
                <w:szCs w:val="21"/>
              </w:rPr>
            </w:pPr>
          </w:p>
        </w:tc>
        <w:tc>
          <w:tcPr>
            <w:tcW w:w="369" w:type="pct"/>
            <w:tcBorders>
              <w:top w:val="single" w:color="000000" w:sz="4" w:space="0"/>
              <w:left w:val="single" w:color="000000" w:sz="4" w:space="0"/>
              <w:bottom w:val="nil"/>
              <w:right w:val="single" w:color="000000" w:sz="4" w:space="0"/>
            </w:tcBorders>
            <w:vAlign w:val="center"/>
          </w:tcPr>
          <w:p w14:paraId="4A9E9BA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查询助手</w:t>
            </w:r>
          </w:p>
        </w:tc>
        <w:tc>
          <w:tcPr>
            <w:tcW w:w="429" w:type="pct"/>
            <w:tcBorders>
              <w:top w:val="single" w:color="000000" w:sz="4" w:space="0"/>
              <w:left w:val="single" w:color="000000" w:sz="4" w:space="0"/>
              <w:bottom w:val="single" w:color="000000" w:sz="4" w:space="0"/>
              <w:right w:val="single" w:color="000000" w:sz="4" w:space="0"/>
            </w:tcBorders>
            <w:vAlign w:val="center"/>
          </w:tcPr>
          <w:p w14:paraId="68E421FC">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临床路径查询</w:t>
            </w:r>
          </w:p>
        </w:tc>
        <w:tc>
          <w:tcPr>
            <w:tcW w:w="2551" w:type="pct"/>
            <w:tcBorders>
              <w:top w:val="single" w:color="000000" w:sz="4" w:space="0"/>
              <w:left w:val="single" w:color="000000" w:sz="4" w:space="0"/>
              <w:bottom w:val="single" w:color="000000" w:sz="4" w:space="0"/>
              <w:right w:val="single" w:color="000000" w:sz="4" w:space="0"/>
            </w:tcBorders>
            <w:vAlign w:val="center"/>
          </w:tcPr>
          <w:p w14:paraId="773AD753">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支持让临床医生查看该病例的2019版224个临床诊疗路径，并能够下载该临床路径的PDF文件</w:t>
            </w:r>
          </w:p>
        </w:tc>
        <w:tc>
          <w:tcPr>
            <w:tcW w:w="530" w:type="pct"/>
            <w:tcBorders>
              <w:top w:val="single" w:color="000000" w:sz="4" w:space="0"/>
              <w:left w:val="single" w:color="000000" w:sz="4" w:space="0"/>
              <w:bottom w:val="single" w:color="000000" w:sz="4" w:space="0"/>
              <w:right w:val="single" w:color="000000" w:sz="4" w:space="0"/>
            </w:tcBorders>
            <w:vAlign w:val="center"/>
          </w:tcPr>
          <w:p w14:paraId="72B1E2BD">
            <w:pPr>
              <w:widowControl/>
              <w:jc w:val="left"/>
              <w:rPr>
                <w:rFonts w:ascii="宋体" w:hAnsi="宋体" w:eastAsia="宋体" w:cs="宋体"/>
                <w:color w:val="000000"/>
                <w:kern w:val="0"/>
                <w:szCs w:val="21"/>
              </w:rPr>
            </w:pPr>
          </w:p>
        </w:tc>
        <w:tc>
          <w:tcPr>
            <w:tcW w:w="590" w:type="pct"/>
            <w:tcBorders>
              <w:top w:val="single" w:color="000000" w:sz="4" w:space="0"/>
              <w:left w:val="single" w:color="000000" w:sz="4" w:space="0"/>
              <w:bottom w:val="single" w:color="000000" w:sz="4" w:space="0"/>
              <w:right w:val="single" w:color="000000" w:sz="4" w:space="0"/>
            </w:tcBorders>
            <w:vAlign w:val="center"/>
          </w:tcPr>
          <w:p w14:paraId="22360C8B">
            <w:pPr>
              <w:widowControl/>
              <w:jc w:val="left"/>
              <w:rPr>
                <w:rFonts w:ascii="宋体" w:hAnsi="宋体" w:eastAsia="宋体" w:cs="宋体"/>
                <w:color w:val="000000"/>
                <w:kern w:val="0"/>
                <w:szCs w:val="21"/>
              </w:rPr>
            </w:pPr>
          </w:p>
        </w:tc>
      </w:tr>
      <w:tr w14:paraId="147B49A1">
        <w:tblPrEx>
          <w:tblCellMar>
            <w:top w:w="0" w:type="dxa"/>
            <w:left w:w="108" w:type="dxa"/>
            <w:bottom w:w="0" w:type="dxa"/>
            <w:right w:w="108" w:type="dxa"/>
          </w:tblCellMar>
        </w:tblPrEx>
        <w:trPr>
          <w:trHeight w:val="900" w:hRule="atLeast"/>
        </w:trPr>
        <w:tc>
          <w:tcPr>
            <w:tcW w:w="233" w:type="pct"/>
            <w:tcBorders>
              <w:top w:val="single" w:color="000000" w:sz="4" w:space="0"/>
              <w:left w:val="single" w:color="000000" w:sz="4" w:space="0"/>
              <w:bottom w:val="single" w:color="000000" w:sz="4" w:space="0"/>
              <w:right w:val="nil"/>
            </w:tcBorders>
            <w:vAlign w:val="center"/>
          </w:tcPr>
          <w:p w14:paraId="73FA006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8</w:t>
            </w:r>
          </w:p>
        </w:tc>
        <w:tc>
          <w:tcPr>
            <w:tcW w:w="294" w:type="pct"/>
            <w:vMerge w:val="continue"/>
            <w:tcBorders>
              <w:top w:val="single" w:color="000000" w:sz="4" w:space="0"/>
              <w:left w:val="single" w:color="000000" w:sz="4" w:space="0"/>
              <w:bottom w:val="single" w:color="000000" w:sz="4" w:space="0"/>
              <w:right w:val="single" w:color="000000" w:sz="4" w:space="0"/>
            </w:tcBorders>
            <w:vAlign w:val="center"/>
          </w:tcPr>
          <w:p w14:paraId="69A8C016">
            <w:pPr>
              <w:widowControl/>
              <w:jc w:val="left"/>
              <w:rPr>
                <w:rFonts w:ascii="宋体" w:hAnsi="宋体" w:eastAsia="宋体" w:cs="宋体"/>
                <w:b/>
                <w:bCs/>
                <w:color w:val="000000"/>
                <w:kern w:val="0"/>
                <w:szCs w:val="21"/>
              </w:rPr>
            </w:pPr>
          </w:p>
        </w:tc>
        <w:tc>
          <w:tcPr>
            <w:tcW w:w="369" w:type="pct"/>
            <w:tcBorders>
              <w:top w:val="single" w:color="000000" w:sz="4" w:space="0"/>
              <w:left w:val="single" w:color="000000" w:sz="4" w:space="0"/>
              <w:bottom w:val="single" w:color="000000" w:sz="4" w:space="0"/>
              <w:right w:val="single" w:color="000000" w:sz="4" w:space="0"/>
            </w:tcBorders>
            <w:vAlign w:val="center"/>
          </w:tcPr>
          <w:p w14:paraId="3FF3263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医生工作站融合内嵌</w:t>
            </w:r>
          </w:p>
        </w:tc>
        <w:tc>
          <w:tcPr>
            <w:tcW w:w="429" w:type="pct"/>
            <w:tcBorders>
              <w:top w:val="single" w:color="000000" w:sz="4" w:space="0"/>
              <w:left w:val="single" w:color="000000" w:sz="4" w:space="0"/>
              <w:bottom w:val="single" w:color="000000" w:sz="4" w:space="0"/>
              <w:right w:val="single" w:color="000000" w:sz="4" w:space="0"/>
            </w:tcBorders>
            <w:vAlign w:val="center"/>
          </w:tcPr>
          <w:p w14:paraId="6DD286B9">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HIS融合内嵌</w:t>
            </w:r>
          </w:p>
        </w:tc>
        <w:tc>
          <w:tcPr>
            <w:tcW w:w="2551" w:type="pct"/>
            <w:tcBorders>
              <w:top w:val="single" w:color="000000" w:sz="4" w:space="0"/>
              <w:left w:val="single" w:color="000000" w:sz="4" w:space="0"/>
              <w:bottom w:val="single" w:color="000000" w:sz="4" w:space="0"/>
              <w:right w:val="single" w:color="000000" w:sz="4" w:space="0"/>
            </w:tcBorders>
            <w:vAlign w:val="center"/>
          </w:tcPr>
          <w:p w14:paraId="61124C56">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提供的产品对在院、预出院患者进行监控。支持临床医生在医生工作站点击内嵌按钮，实现自动弹窗，并实现分组及院内病例盈亏情况的展示。</w:t>
            </w:r>
          </w:p>
        </w:tc>
        <w:tc>
          <w:tcPr>
            <w:tcW w:w="530" w:type="pct"/>
            <w:tcBorders>
              <w:top w:val="single" w:color="000000" w:sz="4" w:space="0"/>
              <w:left w:val="single" w:color="000000" w:sz="4" w:space="0"/>
              <w:bottom w:val="single" w:color="000000" w:sz="4" w:space="0"/>
              <w:right w:val="single" w:color="000000" w:sz="4" w:space="0"/>
            </w:tcBorders>
            <w:vAlign w:val="center"/>
          </w:tcPr>
          <w:p w14:paraId="2A1AE1EC">
            <w:pPr>
              <w:widowControl/>
              <w:jc w:val="left"/>
              <w:rPr>
                <w:rFonts w:ascii="宋体" w:hAnsi="宋体" w:eastAsia="宋体" w:cs="宋体"/>
                <w:color w:val="000000"/>
                <w:kern w:val="0"/>
                <w:szCs w:val="21"/>
              </w:rPr>
            </w:pPr>
          </w:p>
        </w:tc>
        <w:tc>
          <w:tcPr>
            <w:tcW w:w="590" w:type="pct"/>
            <w:tcBorders>
              <w:top w:val="single" w:color="000000" w:sz="4" w:space="0"/>
              <w:left w:val="single" w:color="000000" w:sz="4" w:space="0"/>
              <w:bottom w:val="single" w:color="000000" w:sz="4" w:space="0"/>
              <w:right w:val="single" w:color="000000" w:sz="4" w:space="0"/>
            </w:tcBorders>
            <w:vAlign w:val="center"/>
          </w:tcPr>
          <w:p w14:paraId="16B7CBB4">
            <w:pPr>
              <w:widowControl/>
              <w:jc w:val="left"/>
              <w:rPr>
                <w:rFonts w:ascii="宋体" w:hAnsi="宋体" w:eastAsia="宋体" w:cs="宋体"/>
                <w:color w:val="000000"/>
                <w:kern w:val="0"/>
                <w:szCs w:val="21"/>
              </w:rPr>
            </w:pPr>
          </w:p>
        </w:tc>
      </w:tr>
      <w:tr w14:paraId="5A7C0C73">
        <w:tblPrEx>
          <w:tblCellMar>
            <w:top w:w="0" w:type="dxa"/>
            <w:left w:w="108" w:type="dxa"/>
            <w:bottom w:w="0" w:type="dxa"/>
            <w:right w:w="108" w:type="dxa"/>
          </w:tblCellMar>
        </w:tblPrEx>
        <w:trPr>
          <w:trHeight w:val="360" w:hRule="atLeast"/>
        </w:trPr>
        <w:tc>
          <w:tcPr>
            <w:tcW w:w="233" w:type="pct"/>
            <w:tcBorders>
              <w:top w:val="single" w:color="000000" w:sz="4" w:space="0"/>
              <w:left w:val="single" w:color="000000" w:sz="4" w:space="0"/>
              <w:bottom w:val="single" w:color="000000" w:sz="4" w:space="0"/>
              <w:right w:val="nil"/>
            </w:tcBorders>
            <w:vAlign w:val="center"/>
          </w:tcPr>
          <w:p w14:paraId="575F70D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9</w:t>
            </w:r>
          </w:p>
        </w:tc>
        <w:tc>
          <w:tcPr>
            <w:tcW w:w="294" w:type="pct"/>
            <w:vMerge w:val="restart"/>
            <w:tcBorders>
              <w:top w:val="single" w:color="000000" w:sz="4" w:space="0"/>
              <w:left w:val="single" w:color="000000" w:sz="4" w:space="0"/>
              <w:bottom w:val="single" w:color="000000" w:sz="4" w:space="0"/>
              <w:right w:val="single" w:color="000000" w:sz="4" w:space="0"/>
            </w:tcBorders>
            <w:vAlign w:val="center"/>
          </w:tcPr>
          <w:p w14:paraId="54141060">
            <w:pPr>
              <w:widowControl/>
              <w:jc w:val="center"/>
              <w:rPr>
                <w:rFonts w:ascii="宋体" w:hAnsi="宋体" w:eastAsia="宋体" w:cs="宋体"/>
                <w:b/>
                <w:bCs/>
                <w:color w:val="000000"/>
                <w:kern w:val="0"/>
                <w:szCs w:val="21"/>
              </w:rPr>
            </w:pPr>
            <w:r>
              <w:rPr>
                <w:rFonts w:hint="eastAsia" w:ascii="宋体" w:hAnsi="宋体" w:eastAsia="宋体" w:cs="宋体"/>
                <w:b/>
                <w:bCs/>
                <w:color w:val="000000"/>
                <w:kern w:val="0"/>
                <w:szCs w:val="21"/>
              </w:rPr>
              <w:t>医生质控助手</w:t>
            </w:r>
          </w:p>
        </w:tc>
        <w:tc>
          <w:tcPr>
            <w:tcW w:w="369" w:type="pct"/>
            <w:vMerge w:val="restart"/>
            <w:tcBorders>
              <w:top w:val="single" w:color="000000" w:sz="4" w:space="0"/>
              <w:left w:val="single" w:color="000000" w:sz="4" w:space="0"/>
              <w:bottom w:val="nil"/>
              <w:right w:val="single" w:color="000000" w:sz="4" w:space="0"/>
            </w:tcBorders>
            <w:vAlign w:val="center"/>
          </w:tcPr>
          <w:p w14:paraId="084E865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清单质控基础支撑</w:t>
            </w:r>
          </w:p>
        </w:tc>
        <w:tc>
          <w:tcPr>
            <w:tcW w:w="429" w:type="pct"/>
            <w:tcBorders>
              <w:top w:val="single" w:color="000000" w:sz="4" w:space="0"/>
              <w:left w:val="single" w:color="000000" w:sz="4" w:space="0"/>
              <w:bottom w:val="single" w:color="000000" w:sz="4" w:space="0"/>
              <w:right w:val="single" w:color="000000" w:sz="4" w:space="0"/>
            </w:tcBorders>
            <w:vAlign w:val="center"/>
          </w:tcPr>
          <w:p w14:paraId="26372703">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清单详情</w:t>
            </w:r>
          </w:p>
        </w:tc>
        <w:tc>
          <w:tcPr>
            <w:tcW w:w="2551" w:type="pct"/>
            <w:tcBorders>
              <w:top w:val="single" w:color="000000" w:sz="4" w:space="0"/>
              <w:left w:val="single" w:color="000000" w:sz="4" w:space="0"/>
              <w:bottom w:val="single" w:color="000000" w:sz="4" w:space="0"/>
              <w:right w:val="single" w:color="000000" w:sz="4" w:space="0"/>
            </w:tcBorders>
            <w:vAlign w:val="center"/>
          </w:tcPr>
          <w:p w14:paraId="526E7DC4">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展示预出院/预结算患者的清单详情信息，可使用书签定位清单具体模块;</w:t>
            </w:r>
          </w:p>
        </w:tc>
        <w:tc>
          <w:tcPr>
            <w:tcW w:w="530" w:type="pct"/>
            <w:tcBorders>
              <w:top w:val="single" w:color="000000" w:sz="4" w:space="0"/>
              <w:left w:val="single" w:color="000000" w:sz="4" w:space="0"/>
              <w:bottom w:val="single" w:color="000000" w:sz="4" w:space="0"/>
              <w:right w:val="single" w:color="000000" w:sz="4" w:space="0"/>
            </w:tcBorders>
            <w:vAlign w:val="center"/>
          </w:tcPr>
          <w:p w14:paraId="56C7027B">
            <w:pPr>
              <w:widowControl/>
              <w:jc w:val="left"/>
              <w:rPr>
                <w:rFonts w:ascii="宋体" w:hAnsi="宋体" w:eastAsia="宋体" w:cs="宋体"/>
                <w:color w:val="000000"/>
                <w:kern w:val="0"/>
                <w:szCs w:val="21"/>
              </w:rPr>
            </w:pPr>
          </w:p>
        </w:tc>
        <w:tc>
          <w:tcPr>
            <w:tcW w:w="590" w:type="pct"/>
            <w:tcBorders>
              <w:top w:val="single" w:color="000000" w:sz="4" w:space="0"/>
              <w:left w:val="single" w:color="000000" w:sz="4" w:space="0"/>
              <w:bottom w:val="single" w:color="000000" w:sz="4" w:space="0"/>
              <w:right w:val="single" w:color="000000" w:sz="4" w:space="0"/>
            </w:tcBorders>
            <w:vAlign w:val="center"/>
          </w:tcPr>
          <w:p w14:paraId="560340D4">
            <w:pPr>
              <w:widowControl/>
              <w:jc w:val="left"/>
              <w:rPr>
                <w:rFonts w:ascii="宋体" w:hAnsi="宋体" w:eastAsia="宋体" w:cs="宋体"/>
                <w:color w:val="000000"/>
                <w:kern w:val="0"/>
                <w:szCs w:val="21"/>
              </w:rPr>
            </w:pPr>
          </w:p>
        </w:tc>
      </w:tr>
      <w:tr w14:paraId="6024F8FD">
        <w:tblPrEx>
          <w:tblCellMar>
            <w:top w:w="0" w:type="dxa"/>
            <w:left w:w="108" w:type="dxa"/>
            <w:bottom w:w="0" w:type="dxa"/>
            <w:right w:w="108" w:type="dxa"/>
          </w:tblCellMar>
        </w:tblPrEx>
        <w:trPr>
          <w:trHeight w:val="600" w:hRule="atLeast"/>
        </w:trPr>
        <w:tc>
          <w:tcPr>
            <w:tcW w:w="233" w:type="pct"/>
            <w:tcBorders>
              <w:top w:val="single" w:color="000000" w:sz="4" w:space="0"/>
              <w:left w:val="single" w:color="000000" w:sz="4" w:space="0"/>
              <w:bottom w:val="single" w:color="000000" w:sz="4" w:space="0"/>
              <w:right w:val="nil"/>
            </w:tcBorders>
            <w:vAlign w:val="center"/>
          </w:tcPr>
          <w:p w14:paraId="139F20F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10</w:t>
            </w:r>
          </w:p>
        </w:tc>
        <w:tc>
          <w:tcPr>
            <w:tcW w:w="294" w:type="pct"/>
            <w:vMerge w:val="continue"/>
            <w:tcBorders>
              <w:top w:val="single" w:color="000000" w:sz="4" w:space="0"/>
              <w:left w:val="single" w:color="000000" w:sz="4" w:space="0"/>
              <w:bottom w:val="single" w:color="000000" w:sz="4" w:space="0"/>
              <w:right w:val="single" w:color="000000" w:sz="4" w:space="0"/>
            </w:tcBorders>
            <w:vAlign w:val="center"/>
          </w:tcPr>
          <w:p w14:paraId="27651119">
            <w:pPr>
              <w:widowControl/>
              <w:jc w:val="left"/>
              <w:rPr>
                <w:rFonts w:ascii="宋体" w:hAnsi="宋体" w:eastAsia="宋体" w:cs="宋体"/>
                <w:b/>
                <w:bCs/>
                <w:color w:val="000000"/>
                <w:kern w:val="0"/>
                <w:szCs w:val="21"/>
              </w:rPr>
            </w:pPr>
          </w:p>
        </w:tc>
        <w:tc>
          <w:tcPr>
            <w:tcW w:w="369" w:type="pct"/>
            <w:vMerge w:val="continue"/>
            <w:tcBorders>
              <w:top w:val="single" w:color="000000" w:sz="4" w:space="0"/>
              <w:left w:val="single" w:color="000000" w:sz="4" w:space="0"/>
              <w:bottom w:val="nil"/>
              <w:right w:val="single" w:color="000000" w:sz="4" w:space="0"/>
            </w:tcBorders>
            <w:vAlign w:val="center"/>
          </w:tcPr>
          <w:p w14:paraId="5F0237C9">
            <w:pPr>
              <w:widowControl/>
              <w:jc w:val="left"/>
              <w:rPr>
                <w:rFonts w:ascii="宋体" w:hAnsi="宋体" w:eastAsia="宋体" w:cs="宋体"/>
                <w:color w:val="000000"/>
                <w:kern w:val="0"/>
                <w:szCs w:val="21"/>
              </w:rPr>
            </w:pPr>
          </w:p>
        </w:tc>
        <w:tc>
          <w:tcPr>
            <w:tcW w:w="429" w:type="pct"/>
            <w:tcBorders>
              <w:top w:val="single" w:color="000000" w:sz="4" w:space="0"/>
              <w:left w:val="single" w:color="000000" w:sz="4" w:space="0"/>
              <w:bottom w:val="single" w:color="000000" w:sz="4" w:space="0"/>
              <w:right w:val="single" w:color="000000" w:sz="4" w:space="0"/>
            </w:tcBorders>
            <w:vAlign w:val="center"/>
          </w:tcPr>
          <w:p w14:paraId="390BA1DE">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DIP模拟分组与结算</w:t>
            </w:r>
          </w:p>
        </w:tc>
        <w:tc>
          <w:tcPr>
            <w:tcW w:w="2551" w:type="pct"/>
            <w:tcBorders>
              <w:top w:val="single" w:color="000000" w:sz="4" w:space="0"/>
              <w:left w:val="single" w:color="000000" w:sz="4" w:space="0"/>
              <w:bottom w:val="single" w:color="000000" w:sz="4" w:space="0"/>
              <w:right w:val="single" w:color="000000" w:sz="4" w:space="0"/>
            </w:tcBorders>
            <w:vAlign w:val="center"/>
          </w:tcPr>
          <w:p w14:paraId="2B26499E">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调用分组与结算引擎，对预出院/预结算患者诊疗与费用信息进行DIP模拟分组与结算，展现分组、结算、盈亏、费用结构等重点指标信息。</w:t>
            </w:r>
          </w:p>
        </w:tc>
        <w:tc>
          <w:tcPr>
            <w:tcW w:w="530" w:type="pct"/>
            <w:tcBorders>
              <w:top w:val="single" w:color="000000" w:sz="4" w:space="0"/>
              <w:left w:val="single" w:color="000000" w:sz="4" w:space="0"/>
              <w:bottom w:val="single" w:color="000000" w:sz="4" w:space="0"/>
              <w:right w:val="single" w:color="000000" w:sz="4" w:space="0"/>
            </w:tcBorders>
            <w:vAlign w:val="center"/>
          </w:tcPr>
          <w:p w14:paraId="2890B5F5">
            <w:pPr>
              <w:widowControl/>
              <w:jc w:val="left"/>
              <w:rPr>
                <w:rFonts w:ascii="宋体" w:hAnsi="宋体" w:eastAsia="宋体" w:cs="宋体"/>
                <w:color w:val="000000"/>
                <w:kern w:val="0"/>
                <w:szCs w:val="21"/>
              </w:rPr>
            </w:pPr>
          </w:p>
        </w:tc>
        <w:tc>
          <w:tcPr>
            <w:tcW w:w="590" w:type="pct"/>
            <w:tcBorders>
              <w:top w:val="single" w:color="000000" w:sz="4" w:space="0"/>
              <w:left w:val="single" w:color="000000" w:sz="4" w:space="0"/>
              <w:bottom w:val="single" w:color="000000" w:sz="4" w:space="0"/>
              <w:right w:val="single" w:color="000000" w:sz="4" w:space="0"/>
            </w:tcBorders>
            <w:vAlign w:val="center"/>
          </w:tcPr>
          <w:p w14:paraId="1B9B7517">
            <w:pPr>
              <w:widowControl/>
              <w:jc w:val="left"/>
              <w:rPr>
                <w:rFonts w:ascii="宋体" w:hAnsi="宋体" w:eastAsia="宋体" w:cs="宋体"/>
                <w:color w:val="000000"/>
                <w:kern w:val="0"/>
                <w:szCs w:val="21"/>
              </w:rPr>
            </w:pPr>
          </w:p>
        </w:tc>
      </w:tr>
      <w:tr w14:paraId="353D9497">
        <w:tblPrEx>
          <w:tblCellMar>
            <w:top w:w="0" w:type="dxa"/>
            <w:left w:w="108" w:type="dxa"/>
            <w:bottom w:w="0" w:type="dxa"/>
            <w:right w:w="108" w:type="dxa"/>
          </w:tblCellMar>
        </w:tblPrEx>
        <w:trPr>
          <w:trHeight w:val="900" w:hRule="atLeast"/>
        </w:trPr>
        <w:tc>
          <w:tcPr>
            <w:tcW w:w="233" w:type="pct"/>
            <w:tcBorders>
              <w:top w:val="single" w:color="000000" w:sz="4" w:space="0"/>
              <w:left w:val="single" w:color="000000" w:sz="4" w:space="0"/>
              <w:bottom w:val="single" w:color="000000" w:sz="4" w:space="0"/>
              <w:right w:val="nil"/>
            </w:tcBorders>
            <w:vAlign w:val="center"/>
          </w:tcPr>
          <w:p w14:paraId="6B7F988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11</w:t>
            </w:r>
          </w:p>
        </w:tc>
        <w:tc>
          <w:tcPr>
            <w:tcW w:w="294" w:type="pct"/>
            <w:vMerge w:val="continue"/>
            <w:tcBorders>
              <w:top w:val="single" w:color="000000" w:sz="4" w:space="0"/>
              <w:left w:val="single" w:color="000000" w:sz="4" w:space="0"/>
              <w:bottom w:val="single" w:color="000000" w:sz="4" w:space="0"/>
              <w:right w:val="single" w:color="000000" w:sz="4" w:space="0"/>
            </w:tcBorders>
            <w:vAlign w:val="center"/>
          </w:tcPr>
          <w:p w14:paraId="73CF774A">
            <w:pPr>
              <w:widowControl/>
              <w:jc w:val="left"/>
              <w:rPr>
                <w:rFonts w:ascii="宋体" w:hAnsi="宋体" w:eastAsia="宋体" w:cs="宋体"/>
                <w:b/>
                <w:bCs/>
                <w:color w:val="000000"/>
                <w:kern w:val="0"/>
                <w:szCs w:val="21"/>
              </w:rPr>
            </w:pPr>
          </w:p>
        </w:tc>
        <w:tc>
          <w:tcPr>
            <w:tcW w:w="369" w:type="pct"/>
            <w:vMerge w:val="continue"/>
            <w:tcBorders>
              <w:top w:val="single" w:color="000000" w:sz="4" w:space="0"/>
              <w:left w:val="single" w:color="000000" w:sz="4" w:space="0"/>
              <w:bottom w:val="nil"/>
              <w:right w:val="single" w:color="000000" w:sz="4" w:space="0"/>
            </w:tcBorders>
            <w:vAlign w:val="center"/>
          </w:tcPr>
          <w:p w14:paraId="6AFE47D9">
            <w:pPr>
              <w:widowControl/>
              <w:jc w:val="left"/>
              <w:rPr>
                <w:rFonts w:ascii="宋体" w:hAnsi="宋体" w:eastAsia="宋体" w:cs="宋体"/>
                <w:color w:val="000000"/>
                <w:kern w:val="0"/>
                <w:szCs w:val="21"/>
              </w:rPr>
            </w:pPr>
          </w:p>
        </w:tc>
        <w:tc>
          <w:tcPr>
            <w:tcW w:w="429" w:type="pct"/>
            <w:tcBorders>
              <w:top w:val="single" w:color="000000" w:sz="4" w:space="0"/>
              <w:left w:val="single" w:color="000000" w:sz="4" w:space="0"/>
              <w:bottom w:val="single" w:color="000000" w:sz="4" w:space="0"/>
              <w:right w:val="single" w:color="000000" w:sz="4" w:space="0"/>
            </w:tcBorders>
            <w:vAlign w:val="center"/>
          </w:tcPr>
          <w:p w14:paraId="26799926">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指标配置</w:t>
            </w:r>
          </w:p>
        </w:tc>
        <w:tc>
          <w:tcPr>
            <w:tcW w:w="2551" w:type="pct"/>
            <w:tcBorders>
              <w:top w:val="single" w:color="000000" w:sz="4" w:space="0"/>
              <w:left w:val="single" w:color="000000" w:sz="4" w:space="0"/>
              <w:bottom w:val="single" w:color="000000" w:sz="4" w:space="0"/>
              <w:right w:val="single" w:color="000000" w:sz="4" w:space="0"/>
            </w:tcBorders>
            <w:vAlign w:val="center"/>
          </w:tcPr>
          <w:p w14:paraId="52A660A4">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分组结算相关字段信息支持配置是否展示以及展示名称，DIP可配置字段包括：诊断信息、手术信息、辅助目录、目录类别、基层病种、病例类型、预测费用、病种分值、核拨分值、预测盈亏、药占比、耗占比、医保类型、费用明细、更多组合、医疗总费用、住院日、再入院提示等；支持再入院病例的关联展示。</w:t>
            </w:r>
          </w:p>
        </w:tc>
        <w:tc>
          <w:tcPr>
            <w:tcW w:w="530" w:type="pct"/>
            <w:tcBorders>
              <w:top w:val="single" w:color="000000" w:sz="4" w:space="0"/>
              <w:left w:val="single" w:color="000000" w:sz="4" w:space="0"/>
              <w:bottom w:val="single" w:color="000000" w:sz="4" w:space="0"/>
              <w:right w:val="single" w:color="000000" w:sz="4" w:space="0"/>
            </w:tcBorders>
            <w:vAlign w:val="center"/>
          </w:tcPr>
          <w:p w14:paraId="6CA080F9">
            <w:pPr>
              <w:widowControl/>
              <w:jc w:val="left"/>
              <w:rPr>
                <w:rFonts w:ascii="宋体" w:hAnsi="宋体" w:eastAsia="宋体" w:cs="宋体"/>
                <w:color w:val="000000"/>
                <w:kern w:val="0"/>
                <w:szCs w:val="21"/>
              </w:rPr>
            </w:pPr>
          </w:p>
        </w:tc>
        <w:tc>
          <w:tcPr>
            <w:tcW w:w="590" w:type="pct"/>
            <w:tcBorders>
              <w:top w:val="single" w:color="000000" w:sz="4" w:space="0"/>
              <w:left w:val="single" w:color="000000" w:sz="4" w:space="0"/>
              <w:bottom w:val="single" w:color="000000" w:sz="4" w:space="0"/>
              <w:right w:val="single" w:color="000000" w:sz="4" w:space="0"/>
            </w:tcBorders>
            <w:vAlign w:val="center"/>
          </w:tcPr>
          <w:p w14:paraId="6E285658">
            <w:pPr>
              <w:widowControl/>
              <w:jc w:val="left"/>
              <w:rPr>
                <w:rFonts w:ascii="宋体" w:hAnsi="宋体" w:eastAsia="宋体" w:cs="宋体"/>
                <w:color w:val="000000"/>
                <w:kern w:val="0"/>
                <w:szCs w:val="21"/>
              </w:rPr>
            </w:pPr>
          </w:p>
        </w:tc>
      </w:tr>
      <w:tr w14:paraId="3BB9EC87">
        <w:tblPrEx>
          <w:tblCellMar>
            <w:top w:w="0" w:type="dxa"/>
            <w:left w:w="108" w:type="dxa"/>
            <w:bottom w:w="0" w:type="dxa"/>
            <w:right w:w="108" w:type="dxa"/>
          </w:tblCellMar>
        </w:tblPrEx>
        <w:trPr>
          <w:trHeight w:val="600" w:hRule="atLeast"/>
        </w:trPr>
        <w:tc>
          <w:tcPr>
            <w:tcW w:w="233" w:type="pct"/>
            <w:tcBorders>
              <w:top w:val="single" w:color="000000" w:sz="4" w:space="0"/>
              <w:left w:val="single" w:color="000000" w:sz="4" w:space="0"/>
              <w:bottom w:val="single" w:color="000000" w:sz="4" w:space="0"/>
              <w:right w:val="nil"/>
            </w:tcBorders>
            <w:vAlign w:val="center"/>
          </w:tcPr>
          <w:p w14:paraId="7B7A540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12</w:t>
            </w:r>
          </w:p>
        </w:tc>
        <w:tc>
          <w:tcPr>
            <w:tcW w:w="294" w:type="pct"/>
            <w:vMerge w:val="continue"/>
            <w:tcBorders>
              <w:top w:val="single" w:color="000000" w:sz="4" w:space="0"/>
              <w:left w:val="single" w:color="000000" w:sz="4" w:space="0"/>
              <w:bottom w:val="single" w:color="000000" w:sz="4" w:space="0"/>
              <w:right w:val="single" w:color="000000" w:sz="4" w:space="0"/>
            </w:tcBorders>
            <w:vAlign w:val="center"/>
          </w:tcPr>
          <w:p w14:paraId="75C744F8">
            <w:pPr>
              <w:widowControl/>
              <w:jc w:val="left"/>
              <w:rPr>
                <w:rFonts w:ascii="宋体" w:hAnsi="宋体" w:eastAsia="宋体" w:cs="宋体"/>
                <w:b/>
                <w:bCs/>
                <w:color w:val="000000"/>
                <w:kern w:val="0"/>
                <w:szCs w:val="21"/>
              </w:rPr>
            </w:pPr>
          </w:p>
        </w:tc>
        <w:tc>
          <w:tcPr>
            <w:tcW w:w="369" w:type="pct"/>
            <w:vMerge w:val="continue"/>
            <w:tcBorders>
              <w:top w:val="single" w:color="000000" w:sz="4" w:space="0"/>
              <w:left w:val="single" w:color="000000" w:sz="4" w:space="0"/>
              <w:bottom w:val="nil"/>
              <w:right w:val="single" w:color="000000" w:sz="4" w:space="0"/>
            </w:tcBorders>
            <w:vAlign w:val="center"/>
          </w:tcPr>
          <w:p w14:paraId="0038E885">
            <w:pPr>
              <w:widowControl/>
              <w:jc w:val="left"/>
              <w:rPr>
                <w:rFonts w:ascii="宋体" w:hAnsi="宋体" w:eastAsia="宋体" w:cs="宋体"/>
                <w:color w:val="000000"/>
                <w:kern w:val="0"/>
                <w:szCs w:val="21"/>
              </w:rPr>
            </w:pPr>
          </w:p>
        </w:tc>
        <w:tc>
          <w:tcPr>
            <w:tcW w:w="429" w:type="pct"/>
            <w:tcBorders>
              <w:top w:val="single" w:color="000000" w:sz="4" w:space="0"/>
              <w:left w:val="single" w:color="000000" w:sz="4" w:space="0"/>
              <w:bottom w:val="single" w:color="000000" w:sz="4" w:space="0"/>
              <w:right w:val="single" w:color="000000" w:sz="4" w:space="0"/>
            </w:tcBorders>
            <w:vAlign w:val="center"/>
          </w:tcPr>
          <w:p w14:paraId="1BA405E4">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清单质控</w:t>
            </w:r>
          </w:p>
        </w:tc>
        <w:tc>
          <w:tcPr>
            <w:tcW w:w="2551" w:type="pct"/>
            <w:tcBorders>
              <w:top w:val="single" w:color="000000" w:sz="4" w:space="0"/>
              <w:left w:val="single" w:color="000000" w:sz="4" w:space="0"/>
              <w:bottom w:val="single" w:color="000000" w:sz="4" w:space="0"/>
              <w:right w:val="single" w:color="000000" w:sz="4" w:space="0"/>
            </w:tcBorders>
            <w:vAlign w:val="center"/>
          </w:tcPr>
          <w:p w14:paraId="5893136D">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调用质控引擎，对预出院/预结算患者诊疗与费用信息进行清单质控，提示质控结果信息，根据质控规则严重程度，对质控结果分为严重违规、一般违规、提示违规。</w:t>
            </w:r>
          </w:p>
        </w:tc>
        <w:tc>
          <w:tcPr>
            <w:tcW w:w="530" w:type="pct"/>
            <w:tcBorders>
              <w:top w:val="single" w:color="000000" w:sz="4" w:space="0"/>
              <w:left w:val="single" w:color="000000" w:sz="4" w:space="0"/>
              <w:bottom w:val="single" w:color="000000" w:sz="4" w:space="0"/>
              <w:right w:val="single" w:color="000000" w:sz="4" w:space="0"/>
            </w:tcBorders>
            <w:vAlign w:val="center"/>
          </w:tcPr>
          <w:p w14:paraId="245ED972">
            <w:pPr>
              <w:widowControl/>
              <w:jc w:val="left"/>
              <w:rPr>
                <w:rFonts w:ascii="宋体" w:hAnsi="宋体" w:eastAsia="宋体" w:cs="宋体"/>
                <w:color w:val="000000"/>
                <w:kern w:val="0"/>
                <w:szCs w:val="21"/>
              </w:rPr>
            </w:pPr>
          </w:p>
        </w:tc>
        <w:tc>
          <w:tcPr>
            <w:tcW w:w="590" w:type="pct"/>
            <w:tcBorders>
              <w:top w:val="single" w:color="000000" w:sz="4" w:space="0"/>
              <w:left w:val="single" w:color="000000" w:sz="4" w:space="0"/>
              <w:bottom w:val="single" w:color="000000" w:sz="4" w:space="0"/>
              <w:right w:val="single" w:color="000000" w:sz="4" w:space="0"/>
            </w:tcBorders>
            <w:vAlign w:val="center"/>
          </w:tcPr>
          <w:p w14:paraId="57A04474">
            <w:pPr>
              <w:widowControl/>
              <w:jc w:val="left"/>
              <w:rPr>
                <w:rFonts w:ascii="宋体" w:hAnsi="宋体" w:eastAsia="宋体" w:cs="宋体"/>
                <w:color w:val="000000"/>
                <w:kern w:val="0"/>
                <w:szCs w:val="21"/>
              </w:rPr>
            </w:pPr>
          </w:p>
        </w:tc>
      </w:tr>
      <w:tr w14:paraId="07F7C43F">
        <w:tblPrEx>
          <w:tblCellMar>
            <w:top w:w="0" w:type="dxa"/>
            <w:left w:w="108" w:type="dxa"/>
            <w:bottom w:w="0" w:type="dxa"/>
            <w:right w:w="108" w:type="dxa"/>
          </w:tblCellMar>
        </w:tblPrEx>
        <w:trPr>
          <w:trHeight w:val="600" w:hRule="atLeast"/>
        </w:trPr>
        <w:tc>
          <w:tcPr>
            <w:tcW w:w="233" w:type="pct"/>
            <w:tcBorders>
              <w:top w:val="single" w:color="000000" w:sz="4" w:space="0"/>
              <w:left w:val="single" w:color="000000" w:sz="4" w:space="0"/>
              <w:bottom w:val="single" w:color="000000" w:sz="4" w:space="0"/>
              <w:right w:val="nil"/>
            </w:tcBorders>
            <w:vAlign w:val="center"/>
          </w:tcPr>
          <w:p w14:paraId="3E16122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13</w:t>
            </w:r>
          </w:p>
        </w:tc>
        <w:tc>
          <w:tcPr>
            <w:tcW w:w="294" w:type="pct"/>
            <w:vMerge w:val="continue"/>
            <w:tcBorders>
              <w:top w:val="single" w:color="000000" w:sz="4" w:space="0"/>
              <w:left w:val="single" w:color="000000" w:sz="4" w:space="0"/>
              <w:bottom w:val="single" w:color="000000" w:sz="4" w:space="0"/>
              <w:right w:val="single" w:color="000000" w:sz="4" w:space="0"/>
            </w:tcBorders>
            <w:vAlign w:val="center"/>
          </w:tcPr>
          <w:p w14:paraId="12D78A89">
            <w:pPr>
              <w:widowControl/>
              <w:jc w:val="left"/>
              <w:rPr>
                <w:rFonts w:ascii="宋体" w:hAnsi="宋体" w:eastAsia="宋体" w:cs="宋体"/>
                <w:b/>
                <w:bCs/>
                <w:color w:val="000000"/>
                <w:kern w:val="0"/>
                <w:szCs w:val="21"/>
              </w:rPr>
            </w:pPr>
          </w:p>
        </w:tc>
        <w:tc>
          <w:tcPr>
            <w:tcW w:w="369" w:type="pct"/>
            <w:vMerge w:val="continue"/>
            <w:tcBorders>
              <w:top w:val="single" w:color="000000" w:sz="4" w:space="0"/>
              <w:left w:val="single" w:color="000000" w:sz="4" w:space="0"/>
              <w:bottom w:val="nil"/>
              <w:right w:val="single" w:color="000000" w:sz="4" w:space="0"/>
            </w:tcBorders>
            <w:vAlign w:val="center"/>
          </w:tcPr>
          <w:p w14:paraId="5C82C88E">
            <w:pPr>
              <w:widowControl/>
              <w:jc w:val="left"/>
              <w:rPr>
                <w:rFonts w:ascii="宋体" w:hAnsi="宋体" w:eastAsia="宋体" w:cs="宋体"/>
                <w:color w:val="000000"/>
                <w:kern w:val="0"/>
                <w:szCs w:val="21"/>
              </w:rPr>
            </w:pPr>
          </w:p>
        </w:tc>
        <w:tc>
          <w:tcPr>
            <w:tcW w:w="429" w:type="pct"/>
            <w:tcBorders>
              <w:top w:val="single" w:color="000000" w:sz="4" w:space="0"/>
              <w:left w:val="single" w:color="000000" w:sz="4" w:space="0"/>
              <w:bottom w:val="single" w:color="000000" w:sz="4" w:space="0"/>
              <w:right w:val="single" w:color="000000" w:sz="4" w:space="0"/>
            </w:tcBorders>
            <w:vAlign w:val="center"/>
          </w:tcPr>
          <w:p w14:paraId="5EF25954">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清单评分</w:t>
            </w:r>
          </w:p>
        </w:tc>
        <w:tc>
          <w:tcPr>
            <w:tcW w:w="2551" w:type="pct"/>
            <w:tcBorders>
              <w:top w:val="single" w:color="000000" w:sz="4" w:space="0"/>
              <w:left w:val="single" w:color="000000" w:sz="4" w:space="0"/>
              <w:bottom w:val="single" w:color="000000" w:sz="4" w:space="0"/>
              <w:right w:val="single" w:color="000000" w:sz="4" w:space="0"/>
            </w:tcBorders>
            <w:vAlign w:val="center"/>
          </w:tcPr>
          <w:p w14:paraId="582A0BA2">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调用质控与评分引擎，对预出院/预结算患者进行质控评分，展现质控结果与扣分结果，并计算患者的清单得分。</w:t>
            </w:r>
          </w:p>
        </w:tc>
        <w:tc>
          <w:tcPr>
            <w:tcW w:w="530" w:type="pct"/>
            <w:tcBorders>
              <w:top w:val="single" w:color="000000" w:sz="4" w:space="0"/>
              <w:left w:val="single" w:color="000000" w:sz="4" w:space="0"/>
              <w:bottom w:val="single" w:color="000000" w:sz="4" w:space="0"/>
              <w:right w:val="single" w:color="000000" w:sz="4" w:space="0"/>
            </w:tcBorders>
            <w:vAlign w:val="center"/>
          </w:tcPr>
          <w:p w14:paraId="49DA403C">
            <w:pPr>
              <w:widowControl/>
              <w:jc w:val="left"/>
              <w:rPr>
                <w:rFonts w:ascii="宋体" w:hAnsi="宋体" w:eastAsia="宋体" w:cs="宋体"/>
                <w:color w:val="000000"/>
                <w:kern w:val="0"/>
                <w:szCs w:val="21"/>
              </w:rPr>
            </w:pPr>
          </w:p>
        </w:tc>
        <w:tc>
          <w:tcPr>
            <w:tcW w:w="590" w:type="pct"/>
            <w:tcBorders>
              <w:top w:val="single" w:color="000000" w:sz="4" w:space="0"/>
              <w:left w:val="single" w:color="000000" w:sz="4" w:space="0"/>
              <w:bottom w:val="single" w:color="000000" w:sz="4" w:space="0"/>
              <w:right w:val="single" w:color="000000" w:sz="4" w:space="0"/>
            </w:tcBorders>
            <w:vAlign w:val="center"/>
          </w:tcPr>
          <w:p w14:paraId="7D7EB50A">
            <w:pPr>
              <w:widowControl/>
              <w:jc w:val="left"/>
              <w:rPr>
                <w:rFonts w:ascii="宋体" w:hAnsi="宋体" w:eastAsia="宋体" w:cs="宋体"/>
                <w:color w:val="000000"/>
                <w:kern w:val="0"/>
                <w:szCs w:val="21"/>
              </w:rPr>
            </w:pPr>
          </w:p>
        </w:tc>
      </w:tr>
      <w:tr w14:paraId="22F99461">
        <w:tblPrEx>
          <w:tblCellMar>
            <w:top w:w="0" w:type="dxa"/>
            <w:left w:w="108" w:type="dxa"/>
            <w:bottom w:w="0" w:type="dxa"/>
            <w:right w:w="108" w:type="dxa"/>
          </w:tblCellMar>
        </w:tblPrEx>
        <w:trPr>
          <w:trHeight w:val="900" w:hRule="atLeast"/>
        </w:trPr>
        <w:tc>
          <w:tcPr>
            <w:tcW w:w="233" w:type="pct"/>
            <w:tcBorders>
              <w:top w:val="single" w:color="000000" w:sz="4" w:space="0"/>
              <w:left w:val="single" w:color="000000" w:sz="4" w:space="0"/>
              <w:bottom w:val="single" w:color="000000" w:sz="4" w:space="0"/>
              <w:right w:val="nil"/>
            </w:tcBorders>
            <w:vAlign w:val="center"/>
          </w:tcPr>
          <w:p w14:paraId="0CFB6FE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14</w:t>
            </w:r>
          </w:p>
        </w:tc>
        <w:tc>
          <w:tcPr>
            <w:tcW w:w="294" w:type="pct"/>
            <w:vMerge w:val="continue"/>
            <w:tcBorders>
              <w:top w:val="single" w:color="000000" w:sz="4" w:space="0"/>
              <w:left w:val="single" w:color="000000" w:sz="4" w:space="0"/>
              <w:bottom w:val="single" w:color="000000" w:sz="4" w:space="0"/>
              <w:right w:val="single" w:color="000000" w:sz="4" w:space="0"/>
            </w:tcBorders>
            <w:vAlign w:val="center"/>
          </w:tcPr>
          <w:p w14:paraId="00B82D4D">
            <w:pPr>
              <w:widowControl/>
              <w:jc w:val="left"/>
              <w:rPr>
                <w:rFonts w:ascii="宋体" w:hAnsi="宋体" w:eastAsia="宋体" w:cs="宋体"/>
                <w:b/>
                <w:bCs/>
                <w:color w:val="000000"/>
                <w:kern w:val="0"/>
                <w:szCs w:val="21"/>
              </w:rPr>
            </w:pPr>
          </w:p>
        </w:tc>
        <w:tc>
          <w:tcPr>
            <w:tcW w:w="369" w:type="pct"/>
            <w:vMerge w:val="continue"/>
            <w:tcBorders>
              <w:top w:val="single" w:color="000000" w:sz="4" w:space="0"/>
              <w:left w:val="single" w:color="000000" w:sz="4" w:space="0"/>
              <w:bottom w:val="nil"/>
              <w:right w:val="single" w:color="000000" w:sz="4" w:space="0"/>
            </w:tcBorders>
            <w:vAlign w:val="center"/>
          </w:tcPr>
          <w:p w14:paraId="5ED883EC">
            <w:pPr>
              <w:widowControl/>
              <w:jc w:val="left"/>
              <w:rPr>
                <w:rFonts w:ascii="宋体" w:hAnsi="宋体" w:eastAsia="宋体" w:cs="宋体"/>
                <w:color w:val="000000"/>
                <w:kern w:val="0"/>
                <w:szCs w:val="21"/>
              </w:rPr>
            </w:pPr>
          </w:p>
        </w:tc>
        <w:tc>
          <w:tcPr>
            <w:tcW w:w="429" w:type="pct"/>
            <w:tcBorders>
              <w:top w:val="single" w:color="000000" w:sz="4" w:space="0"/>
              <w:left w:val="single" w:color="000000" w:sz="4" w:space="0"/>
              <w:bottom w:val="single" w:color="000000" w:sz="4" w:space="0"/>
              <w:right w:val="single" w:color="000000" w:sz="4" w:space="0"/>
            </w:tcBorders>
            <w:vAlign w:val="center"/>
          </w:tcPr>
          <w:p w14:paraId="6F5CD8A4">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费用游标</w:t>
            </w:r>
          </w:p>
        </w:tc>
        <w:tc>
          <w:tcPr>
            <w:tcW w:w="2551" w:type="pct"/>
            <w:tcBorders>
              <w:top w:val="single" w:color="000000" w:sz="4" w:space="0"/>
              <w:left w:val="single" w:color="000000" w:sz="4" w:space="0"/>
              <w:bottom w:val="single" w:color="000000" w:sz="4" w:space="0"/>
              <w:right w:val="single" w:color="000000" w:sz="4" w:space="0"/>
            </w:tcBorders>
            <w:vAlign w:val="center"/>
          </w:tcPr>
          <w:p w14:paraId="3413B494">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根据患者住院的诊疗信息预测分组结果，结合当地政策信息，生成医院病种参考值和费用预警信息；通过可视化图示，直观有效的展示病例类型及费用预警结果；对低倍率、标准值、高倍率的界值进行展示，提供给医生进行费用参考。</w:t>
            </w:r>
          </w:p>
        </w:tc>
        <w:tc>
          <w:tcPr>
            <w:tcW w:w="530" w:type="pct"/>
            <w:tcBorders>
              <w:top w:val="single" w:color="000000" w:sz="4" w:space="0"/>
              <w:left w:val="single" w:color="000000" w:sz="4" w:space="0"/>
              <w:bottom w:val="single" w:color="000000" w:sz="4" w:space="0"/>
              <w:right w:val="single" w:color="000000" w:sz="4" w:space="0"/>
            </w:tcBorders>
            <w:vAlign w:val="center"/>
          </w:tcPr>
          <w:p w14:paraId="28E4074D">
            <w:pPr>
              <w:widowControl/>
              <w:jc w:val="left"/>
              <w:rPr>
                <w:rFonts w:ascii="宋体" w:hAnsi="宋体" w:eastAsia="宋体" w:cs="宋体"/>
                <w:color w:val="000000"/>
                <w:kern w:val="0"/>
                <w:szCs w:val="21"/>
              </w:rPr>
            </w:pPr>
          </w:p>
        </w:tc>
        <w:tc>
          <w:tcPr>
            <w:tcW w:w="590" w:type="pct"/>
            <w:tcBorders>
              <w:top w:val="single" w:color="000000" w:sz="4" w:space="0"/>
              <w:left w:val="single" w:color="000000" w:sz="4" w:space="0"/>
              <w:bottom w:val="single" w:color="000000" w:sz="4" w:space="0"/>
              <w:right w:val="single" w:color="000000" w:sz="4" w:space="0"/>
            </w:tcBorders>
            <w:vAlign w:val="center"/>
          </w:tcPr>
          <w:p w14:paraId="4CFA36E4">
            <w:pPr>
              <w:widowControl/>
              <w:jc w:val="left"/>
              <w:rPr>
                <w:rFonts w:ascii="宋体" w:hAnsi="宋体" w:eastAsia="宋体" w:cs="宋体"/>
                <w:color w:val="000000"/>
                <w:kern w:val="0"/>
                <w:szCs w:val="21"/>
              </w:rPr>
            </w:pPr>
          </w:p>
        </w:tc>
      </w:tr>
      <w:tr w14:paraId="557EF483">
        <w:tblPrEx>
          <w:tblCellMar>
            <w:top w:w="0" w:type="dxa"/>
            <w:left w:w="108" w:type="dxa"/>
            <w:bottom w:w="0" w:type="dxa"/>
            <w:right w:w="108" w:type="dxa"/>
          </w:tblCellMar>
        </w:tblPrEx>
        <w:trPr>
          <w:trHeight w:val="600" w:hRule="atLeast"/>
        </w:trPr>
        <w:tc>
          <w:tcPr>
            <w:tcW w:w="233" w:type="pct"/>
            <w:tcBorders>
              <w:top w:val="single" w:color="000000" w:sz="4" w:space="0"/>
              <w:left w:val="single" w:color="000000" w:sz="4" w:space="0"/>
              <w:bottom w:val="single" w:color="000000" w:sz="4" w:space="0"/>
              <w:right w:val="nil"/>
            </w:tcBorders>
            <w:vAlign w:val="center"/>
          </w:tcPr>
          <w:p w14:paraId="602A2EE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15</w:t>
            </w:r>
          </w:p>
        </w:tc>
        <w:tc>
          <w:tcPr>
            <w:tcW w:w="294" w:type="pct"/>
            <w:vMerge w:val="continue"/>
            <w:tcBorders>
              <w:top w:val="single" w:color="000000" w:sz="4" w:space="0"/>
              <w:left w:val="single" w:color="000000" w:sz="4" w:space="0"/>
              <w:bottom w:val="single" w:color="000000" w:sz="4" w:space="0"/>
              <w:right w:val="single" w:color="000000" w:sz="4" w:space="0"/>
            </w:tcBorders>
            <w:vAlign w:val="center"/>
          </w:tcPr>
          <w:p w14:paraId="635F0697">
            <w:pPr>
              <w:widowControl/>
              <w:jc w:val="left"/>
              <w:rPr>
                <w:rFonts w:ascii="宋体" w:hAnsi="宋体" w:eastAsia="宋体" w:cs="宋体"/>
                <w:b/>
                <w:bCs/>
                <w:color w:val="000000"/>
                <w:kern w:val="0"/>
                <w:szCs w:val="21"/>
              </w:rPr>
            </w:pPr>
          </w:p>
        </w:tc>
        <w:tc>
          <w:tcPr>
            <w:tcW w:w="369" w:type="pct"/>
            <w:vMerge w:val="continue"/>
            <w:tcBorders>
              <w:top w:val="single" w:color="000000" w:sz="4" w:space="0"/>
              <w:left w:val="single" w:color="000000" w:sz="4" w:space="0"/>
              <w:bottom w:val="nil"/>
              <w:right w:val="single" w:color="000000" w:sz="4" w:space="0"/>
            </w:tcBorders>
            <w:vAlign w:val="center"/>
          </w:tcPr>
          <w:p w14:paraId="6B17EA55">
            <w:pPr>
              <w:widowControl/>
              <w:jc w:val="left"/>
              <w:rPr>
                <w:rFonts w:ascii="宋体" w:hAnsi="宋体" w:eastAsia="宋体" w:cs="宋体"/>
                <w:color w:val="000000"/>
                <w:kern w:val="0"/>
                <w:szCs w:val="21"/>
              </w:rPr>
            </w:pPr>
          </w:p>
        </w:tc>
        <w:tc>
          <w:tcPr>
            <w:tcW w:w="429" w:type="pct"/>
            <w:tcBorders>
              <w:top w:val="single" w:color="000000" w:sz="4" w:space="0"/>
              <w:left w:val="single" w:color="000000" w:sz="4" w:space="0"/>
              <w:bottom w:val="single" w:color="000000" w:sz="4" w:space="0"/>
              <w:right w:val="single" w:color="000000" w:sz="4" w:space="0"/>
            </w:tcBorders>
            <w:vAlign w:val="center"/>
          </w:tcPr>
          <w:p w14:paraId="38542FA3">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违规结果定位</w:t>
            </w:r>
          </w:p>
        </w:tc>
        <w:tc>
          <w:tcPr>
            <w:tcW w:w="2551" w:type="pct"/>
            <w:tcBorders>
              <w:top w:val="single" w:color="000000" w:sz="4" w:space="0"/>
              <w:left w:val="single" w:color="000000" w:sz="4" w:space="0"/>
              <w:bottom w:val="single" w:color="000000" w:sz="4" w:space="0"/>
              <w:right w:val="single" w:color="000000" w:sz="4" w:space="0"/>
            </w:tcBorders>
            <w:vAlign w:val="center"/>
          </w:tcPr>
          <w:p w14:paraId="28CD290D">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清单详情界面质控信息支持展示对应的违规字段名称，点击后可支持定位至左侧具体位置。</w:t>
            </w:r>
          </w:p>
        </w:tc>
        <w:tc>
          <w:tcPr>
            <w:tcW w:w="530" w:type="pct"/>
            <w:tcBorders>
              <w:top w:val="single" w:color="000000" w:sz="4" w:space="0"/>
              <w:left w:val="single" w:color="000000" w:sz="4" w:space="0"/>
              <w:bottom w:val="single" w:color="000000" w:sz="4" w:space="0"/>
              <w:right w:val="single" w:color="000000" w:sz="4" w:space="0"/>
            </w:tcBorders>
            <w:vAlign w:val="center"/>
          </w:tcPr>
          <w:p w14:paraId="6C206735">
            <w:pPr>
              <w:widowControl/>
              <w:jc w:val="left"/>
              <w:rPr>
                <w:rFonts w:ascii="宋体" w:hAnsi="宋体" w:eastAsia="宋体" w:cs="宋体"/>
                <w:color w:val="000000"/>
                <w:kern w:val="0"/>
                <w:szCs w:val="21"/>
              </w:rPr>
            </w:pPr>
          </w:p>
        </w:tc>
        <w:tc>
          <w:tcPr>
            <w:tcW w:w="590" w:type="pct"/>
            <w:tcBorders>
              <w:top w:val="single" w:color="000000" w:sz="4" w:space="0"/>
              <w:left w:val="single" w:color="000000" w:sz="4" w:space="0"/>
              <w:bottom w:val="single" w:color="000000" w:sz="4" w:space="0"/>
              <w:right w:val="single" w:color="000000" w:sz="4" w:space="0"/>
            </w:tcBorders>
            <w:vAlign w:val="center"/>
          </w:tcPr>
          <w:p w14:paraId="24DA9E95">
            <w:pPr>
              <w:widowControl/>
              <w:jc w:val="left"/>
              <w:rPr>
                <w:rFonts w:ascii="宋体" w:hAnsi="宋体" w:eastAsia="宋体" w:cs="宋体"/>
                <w:color w:val="000000"/>
                <w:kern w:val="0"/>
                <w:szCs w:val="21"/>
              </w:rPr>
            </w:pPr>
          </w:p>
        </w:tc>
      </w:tr>
      <w:tr w14:paraId="5855ED3A">
        <w:tblPrEx>
          <w:tblCellMar>
            <w:top w:w="0" w:type="dxa"/>
            <w:left w:w="108" w:type="dxa"/>
            <w:bottom w:w="0" w:type="dxa"/>
            <w:right w:w="108" w:type="dxa"/>
          </w:tblCellMar>
        </w:tblPrEx>
        <w:trPr>
          <w:trHeight w:val="600" w:hRule="atLeast"/>
        </w:trPr>
        <w:tc>
          <w:tcPr>
            <w:tcW w:w="233" w:type="pct"/>
            <w:tcBorders>
              <w:top w:val="single" w:color="000000" w:sz="4" w:space="0"/>
              <w:left w:val="single" w:color="000000" w:sz="4" w:space="0"/>
              <w:bottom w:val="single" w:color="000000" w:sz="4" w:space="0"/>
              <w:right w:val="nil"/>
            </w:tcBorders>
            <w:vAlign w:val="center"/>
          </w:tcPr>
          <w:p w14:paraId="63E5562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16</w:t>
            </w:r>
          </w:p>
        </w:tc>
        <w:tc>
          <w:tcPr>
            <w:tcW w:w="294" w:type="pct"/>
            <w:vMerge w:val="continue"/>
            <w:tcBorders>
              <w:top w:val="single" w:color="000000" w:sz="4" w:space="0"/>
              <w:left w:val="single" w:color="000000" w:sz="4" w:space="0"/>
              <w:bottom w:val="single" w:color="000000" w:sz="4" w:space="0"/>
              <w:right w:val="single" w:color="000000" w:sz="4" w:space="0"/>
            </w:tcBorders>
            <w:vAlign w:val="center"/>
          </w:tcPr>
          <w:p w14:paraId="149B736C">
            <w:pPr>
              <w:widowControl/>
              <w:jc w:val="left"/>
              <w:rPr>
                <w:rFonts w:ascii="宋体" w:hAnsi="宋体" w:eastAsia="宋体" w:cs="宋体"/>
                <w:b/>
                <w:bCs/>
                <w:color w:val="000000"/>
                <w:kern w:val="0"/>
                <w:szCs w:val="21"/>
              </w:rPr>
            </w:pPr>
          </w:p>
        </w:tc>
        <w:tc>
          <w:tcPr>
            <w:tcW w:w="369" w:type="pct"/>
            <w:vMerge w:val="continue"/>
            <w:tcBorders>
              <w:top w:val="single" w:color="000000" w:sz="4" w:space="0"/>
              <w:left w:val="single" w:color="000000" w:sz="4" w:space="0"/>
              <w:bottom w:val="nil"/>
              <w:right w:val="single" w:color="000000" w:sz="4" w:space="0"/>
            </w:tcBorders>
            <w:vAlign w:val="center"/>
          </w:tcPr>
          <w:p w14:paraId="6A21E6BA">
            <w:pPr>
              <w:widowControl/>
              <w:jc w:val="left"/>
              <w:rPr>
                <w:rFonts w:ascii="宋体" w:hAnsi="宋体" w:eastAsia="宋体" w:cs="宋体"/>
                <w:color w:val="000000"/>
                <w:kern w:val="0"/>
                <w:szCs w:val="21"/>
              </w:rPr>
            </w:pPr>
          </w:p>
        </w:tc>
        <w:tc>
          <w:tcPr>
            <w:tcW w:w="429" w:type="pct"/>
            <w:tcBorders>
              <w:top w:val="single" w:color="000000" w:sz="4" w:space="0"/>
              <w:left w:val="single" w:color="000000" w:sz="4" w:space="0"/>
              <w:bottom w:val="single" w:color="000000" w:sz="4" w:space="0"/>
              <w:right w:val="single" w:color="000000" w:sz="4" w:space="0"/>
            </w:tcBorders>
            <w:vAlign w:val="center"/>
          </w:tcPr>
          <w:p w14:paraId="47F677BC">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医院系统融合内嵌</w:t>
            </w:r>
          </w:p>
        </w:tc>
        <w:tc>
          <w:tcPr>
            <w:tcW w:w="2551" w:type="pct"/>
            <w:tcBorders>
              <w:top w:val="single" w:color="000000" w:sz="4" w:space="0"/>
              <w:left w:val="single" w:color="000000" w:sz="4" w:space="0"/>
              <w:bottom w:val="single" w:color="000000" w:sz="4" w:space="0"/>
              <w:right w:val="single" w:color="000000" w:sz="4" w:space="0"/>
            </w:tcBorders>
            <w:vAlign w:val="center"/>
          </w:tcPr>
          <w:p w14:paraId="168AD5D3">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提供的产品应对预出院及出院患者进行监控。支持点击内嵌按钮，实现自动弹窗，并实现分组质控情况展示。</w:t>
            </w:r>
          </w:p>
        </w:tc>
        <w:tc>
          <w:tcPr>
            <w:tcW w:w="530" w:type="pct"/>
            <w:tcBorders>
              <w:top w:val="single" w:color="000000" w:sz="4" w:space="0"/>
              <w:left w:val="single" w:color="000000" w:sz="4" w:space="0"/>
              <w:bottom w:val="single" w:color="000000" w:sz="4" w:space="0"/>
              <w:right w:val="single" w:color="000000" w:sz="4" w:space="0"/>
            </w:tcBorders>
            <w:vAlign w:val="center"/>
          </w:tcPr>
          <w:p w14:paraId="33EB8286">
            <w:pPr>
              <w:widowControl/>
              <w:jc w:val="left"/>
              <w:rPr>
                <w:rFonts w:ascii="宋体" w:hAnsi="宋体" w:eastAsia="宋体" w:cs="宋体"/>
                <w:color w:val="000000"/>
                <w:kern w:val="0"/>
                <w:szCs w:val="21"/>
              </w:rPr>
            </w:pPr>
          </w:p>
        </w:tc>
        <w:tc>
          <w:tcPr>
            <w:tcW w:w="590" w:type="pct"/>
            <w:tcBorders>
              <w:top w:val="single" w:color="000000" w:sz="4" w:space="0"/>
              <w:left w:val="single" w:color="000000" w:sz="4" w:space="0"/>
              <w:bottom w:val="single" w:color="000000" w:sz="4" w:space="0"/>
              <w:right w:val="single" w:color="000000" w:sz="4" w:space="0"/>
            </w:tcBorders>
            <w:vAlign w:val="center"/>
          </w:tcPr>
          <w:p w14:paraId="583AA7BC">
            <w:pPr>
              <w:widowControl/>
              <w:jc w:val="left"/>
              <w:rPr>
                <w:rFonts w:ascii="宋体" w:hAnsi="宋体" w:eastAsia="宋体" w:cs="宋体"/>
                <w:color w:val="000000"/>
                <w:kern w:val="0"/>
                <w:szCs w:val="21"/>
              </w:rPr>
            </w:pPr>
          </w:p>
        </w:tc>
      </w:tr>
      <w:tr w14:paraId="29CC1F0E">
        <w:tblPrEx>
          <w:tblCellMar>
            <w:top w:w="0" w:type="dxa"/>
            <w:left w:w="108" w:type="dxa"/>
            <w:bottom w:w="0" w:type="dxa"/>
            <w:right w:w="108" w:type="dxa"/>
          </w:tblCellMar>
        </w:tblPrEx>
        <w:trPr>
          <w:trHeight w:val="300" w:hRule="atLeast"/>
        </w:trPr>
        <w:tc>
          <w:tcPr>
            <w:tcW w:w="233" w:type="pct"/>
            <w:tcBorders>
              <w:top w:val="single" w:color="000000" w:sz="4" w:space="0"/>
              <w:left w:val="single" w:color="000000" w:sz="4" w:space="0"/>
              <w:bottom w:val="single" w:color="000000" w:sz="4" w:space="0"/>
              <w:right w:val="nil"/>
            </w:tcBorders>
            <w:vAlign w:val="center"/>
          </w:tcPr>
          <w:p w14:paraId="3F18765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17</w:t>
            </w:r>
          </w:p>
        </w:tc>
        <w:tc>
          <w:tcPr>
            <w:tcW w:w="294" w:type="pct"/>
            <w:vMerge w:val="continue"/>
            <w:tcBorders>
              <w:top w:val="single" w:color="000000" w:sz="4" w:space="0"/>
              <w:left w:val="single" w:color="000000" w:sz="4" w:space="0"/>
              <w:bottom w:val="single" w:color="000000" w:sz="4" w:space="0"/>
              <w:right w:val="single" w:color="000000" w:sz="4" w:space="0"/>
            </w:tcBorders>
            <w:vAlign w:val="center"/>
          </w:tcPr>
          <w:p w14:paraId="4503C133">
            <w:pPr>
              <w:widowControl/>
              <w:jc w:val="left"/>
              <w:rPr>
                <w:rFonts w:ascii="宋体" w:hAnsi="宋体" w:eastAsia="宋体" w:cs="宋体"/>
                <w:b/>
                <w:bCs/>
                <w:color w:val="000000"/>
                <w:kern w:val="0"/>
                <w:szCs w:val="21"/>
              </w:rPr>
            </w:pPr>
          </w:p>
        </w:tc>
        <w:tc>
          <w:tcPr>
            <w:tcW w:w="369" w:type="pct"/>
            <w:vMerge w:val="restart"/>
            <w:tcBorders>
              <w:top w:val="single" w:color="000000" w:sz="4" w:space="0"/>
              <w:left w:val="single" w:color="000000" w:sz="4" w:space="0"/>
              <w:bottom w:val="nil"/>
              <w:right w:val="single" w:color="000000" w:sz="4" w:space="0"/>
            </w:tcBorders>
            <w:vAlign w:val="center"/>
          </w:tcPr>
          <w:p w14:paraId="11AEC39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病案质控融合内嵌</w:t>
            </w:r>
          </w:p>
        </w:tc>
        <w:tc>
          <w:tcPr>
            <w:tcW w:w="429" w:type="pct"/>
            <w:tcBorders>
              <w:top w:val="single" w:color="000000" w:sz="4" w:space="0"/>
              <w:left w:val="single" w:color="000000" w:sz="4" w:space="0"/>
              <w:bottom w:val="single" w:color="000000" w:sz="4" w:space="0"/>
              <w:right w:val="single" w:color="000000" w:sz="4" w:space="0"/>
            </w:tcBorders>
            <w:vAlign w:val="center"/>
          </w:tcPr>
          <w:p w14:paraId="441E68ED">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病案详情</w:t>
            </w:r>
          </w:p>
        </w:tc>
        <w:tc>
          <w:tcPr>
            <w:tcW w:w="2551" w:type="pct"/>
            <w:tcBorders>
              <w:top w:val="single" w:color="000000" w:sz="4" w:space="0"/>
              <w:left w:val="single" w:color="000000" w:sz="4" w:space="0"/>
              <w:bottom w:val="single" w:color="000000" w:sz="4" w:space="0"/>
              <w:right w:val="single" w:color="000000" w:sz="4" w:space="0"/>
            </w:tcBorders>
            <w:vAlign w:val="center"/>
          </w:tcPr>
          <w:p w14:paraId="3BB1A98A">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展示预出院患者的病案详情信息，可使用书签定位病案具体模块;</w:t>
            </w:r>
          </w:p>
        </w:tc>
        <w:tc>
          <w:tcPr>
            <w:tcW w:w="530" w:type="pct"/>
            <w:tcBorders>
              <w:top w:val="single" w:color="000000" w:sz="4" w:space="0"/>
              <w:left w:val="single" w:color="000000" w:sz="4" w:space="0"/>
              <w:bottom w:val="single" w:color="000000" w:sz="4" w:space="0"/>
              <w:right w:val="single" w:color="000000" w:sz="4" w:space="0"/>
            </w:tcBorders>
            <w:vAlign w:val="center"/>
          </w:tcPr>
          <w:p w14:paraId="59469870">
            <w:pPr>
              <w:widowControl/>
              <w:jc w:val="left"/>
              <w:rPr>
                <w:rFonts w:ascii="宋体" w:hAnsi="宋体" w:eastAsia="宋体" w:cs="宋体"/>
                <w:color w:val="000000"/>
                <w:kern w:val="0"/>
                <w:szCs w:val="21"/>
              </w:rPr>
            </w:pPr>
          </w:p>
        </w:tc>
        <w:tc>
          <w:tcPr>
            <w:tcW w:w="590" w:type="pct"/>
            <w:tcBorders>
              <w:top w:val="single" w:color="000000" w:sz="4" w:space="0"/>
              <w:left w:val="single" w:color="000000" w:sz="4" w:space="0"/>
              <w:bottom w:val="single" w:color="000000" w:sz="4" w:space="0"/>
              <w:right w:val="single" w:color="000000" w:sz="4" w:space="0"/>
            </w:tcBorders>
            <w:vAlign w:val="center"/>
          </w:tcPr>
          <w:p w14:paraId="4A30C621">
            <w:pPr>
              <w:widowControl/>
              <w:jc w:val="left"/>
              <w:rPr>
                <w:rFonts w:ascii="宋体" w:hAnsi="宋体" w:eastAsia="宋体" w:cs="宋体"/>
                <w:color w:val="000000"/>
                <w:kern w:val="0"/>
                <w:szCs w:val="21"/>
              </w:rPr>
            </w:pPr>
          </w:p>
        </w:tc>
      </w:tr>
      <w:tr w14:paraId="1D05C919">
        <w:tblPrEx>
          <w:tblCellMar>
            <w:top w:w="0" w:type="dxa"/>
            <w:left w:w="108" w:type="dxa"/>
            <w:bottom w:w="0" w:type="dxa"/>
            <w:right w:w="108" w:type="dxa"/>
          </w:tblCellMar>
        </w:tblPrEx>
        <w:trPr>
          <w:trHeight w:val="900" w:hRule="atLeast"/>
        </w:trPr>
        <w:tc>
          <w:tcPr>
            <w:tcW w:w="233" w:type="pct"/>
            <w:tcBorders>
              <w:top w:val="single" w:color="000000" w:sz="4" w:space="0"/>
              <w:left w:val="single" w:color="000000" w:sz="4" w:space="0"/>
              <w:bottom w:val="single" w:color="000000" w:sz="4" w:space="0"/>
              <w:right w:val="nil"/>
            </w:tcBorders>
            <w:vAlign w:val="center"/>
          </w:tcPr>
          <w:p w14:paraId="6D0A8FA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18</w:t>
            </w:r>
          </w:p>
        </w:tc>
        <w:tc>
          <w:tcPr>
            <w:tcW w:w="294" w:type="pct"/>
            <w:vMerge w:val="continue"/>
            <w:tcBorders>
              <w:top w:val="single" w:color="000000" w:sz="4" w:space="0"/>
              <w:left w:val="single" w:color="000000" w:sz="4" w:space="0"/>
              <w:bottom w:val="single" w:color="000000" w:sz="4" w:space="0"/>
              <w:right w:val="single" w:color="000000" w:sz="4" w:space="0"/>
            </w:tcBorders>
            <w:vAlign w:val="center"/>
          </w:tcPr>
          <w:p w14:paraId="576972FE">
            <w:pPr>
              <w:widowControl/>
              <w:jc w:val="left"/>
              <w:rPr>
                <w:rFonts w:ascii="宋体" w:hAnsi="宋体" w:eastAsia="宋体" w:cs="宋体"/>
                <w:b/>
                <w:bCs/>
                <w:color w:val="000000"/>
                <w:kern w:val="0"/>
                <w:szCs w:val="21"/>
              </w:rPr>
            </w:pPr>
          </w:p>
        </w:tc>
        <w:tc>
          <w:tcPr>
            <w:tcW w:w="369" w:type="pct"/>
            <w:vMerge w:val="continue"/>
            <w:tcBorders>
              <w:top w:val="single" w:color="000000" w:sz="4" w:space="0"/>
              <w:left w:val="single" w:color="000000" w:sz="4" w:space="0"/>
              <w:bottom w:val="nil"/>
              <w:right w:val="single" w:color="000000" w:sz="4" w:space="0"/>
            </w:tcBorders>
            <w:vAlign w:val="center"/>
          </w:tcPr>
          <w:p w14:paraId="3A647E73">
            <w:pPr>
              <w:widowControl/>
              <w:jc w:val="left"/>
              <w:rPr>
                <w:rFonts w:ascii="宋体" w:hAnsi="宋体" w:eastAsia="宋体" w:cs="宋体"/>
                <w:color w:val="000000"/>
                <w:kern w:val="0"/>
                <w:szCs w:val="21"/>
              </w:rPr>
            </w:pPr>
          </w:p>
        </w:tc>
        <w:tc>
          <w:tcPr>
            <w:tcW w:w="429" w:type="pct"/>
            <w:tcBorders>
              <w:top w:val="single" w:color="000000" w:sz="4" w:space="0"/>
              <w:left w:val="single" w:color="000000" w:sz="4" w:space="0"/>
              <w:bottom w:val="single" w:color="000000" w:sz="4" w:space="0"/>
              <w:right w:val="single" w:color="000000" w:sz="4" w:space="0"/>
            </w:tcBorders>
            <w:vAlign w:val="center"/>
          </w:tcPr>
          <w:p w14:paraId="29F1BD3F">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CN-DRG模拟分组结果展示</w:t>
            </w:r>
          </w:p>
        </w:tc>
        <w:tc>
          <w:tcPr>
            <w:tcW w:w="2551" w:type="pct"/>
            <w:tcBorders>
              <w:top w:val="single" w:color="000000" w:sz="4" w:space="0"/>
              <w:left w:val="single" w:color="000000" w:sz="4" w:space="0"/>
              <w:bottom w:val="single" w:color="000000" w:sz="4" w:space="0"/>
              <w:right w:val="single" w:color="000000" w:sz="4" w:space="0"/>
            </w:tcBorders>
            <w:vAlign w:val="center"/>
          </w:tcPr>
          <w:p w14:paraId="3280540C">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调用分组引擎，对预出院患者诊疗信息进行DRG模拟分组，展现分组，费用结构等重点指标信息</w:t>
            </w:r>
          </w:p>
        </w:tc>
        <w:tc>
          <w:tcPr>
            <w:tcW w:w="530" w:type="pct"/>
            <w:tcBorders>
              <w:top w:val="single" w:color="000000" w:sz="4" w:space="0"/>
              <w:left w:val="single" w:color="000000" w:sz="4" w:space="0"/>
              <w:bottom w:val="single" w:color="000000" w:sz="4" w:space="0"/>
              <w:right w:val="single" w:color="000000" w:sz="4" w:space="0"/>
            </w:tcBorders>
            <w:vAlign w:val="center"/>
          </w:tcPr>
          <w:p w14:paraId="3B52EC4E">
            <w:pPr>
              <w:widowControl/>
              <w:jc w:val="left"/>
              <w:rPr>
                <w:rFonts w:ascii="宋体" w:hAnsi="宋体" w:eastAsia="宋体" w:cs="宋体"/>
                <w:color w:val="000000"/>
                <w:kern w:val="0"/>
                <w:szCs w:val="21"/>
              </w:rPr>
            </w:pPr>
          </w:p>
        </w:tc>
        <w:tc>
          <w:tcPr>
            <w:tcW w:w="590" w:type="pct"/>
            <w:tcBorders>
              <w:top w:val="single" w:color="000000" w:sz="4" w:space="0"/>
              <w:left w:val="single" w:color="000000" w:sz="4" w:space="0"/>
              <w:bottom w:val="single" w:color="000000" w:sz="4" w:space="0"/>
              <w:right w:val="single" w:color="000000" w:sz="4" w:space="0"/>
            </w:tcBorders>
            <w:vAlign w:val="center"/>
          </w:tcPr>
          <w:p w14:paraId="055FEA7C">
            <w:pPr>
              <w:widowControl/>
              <w:jc w:val="left"/>
              <w:rPr>
                <w:rFonts w:ascii="宋体" w:hAnsi="宋体" w:eastAsia="宋体" w:cs="宋体"/>
                <w:color w:val="000000"/>
                <w:kern w:val="0"/>
                <w:szCs w:val="21"/>
              </w:rPr>
            </w:pPr>
          </w:p>
        </w:tc>
      </w:tr>
      <w:tr w14:paraId="51C89A35">
        <w:tblPrEx>
          <w:tblCellMar>
            <w:top w:w="0" w:type="dxa"/>
            <w:left w:w="108" w:type="dxa"/>
            <w:bottom w:w="0" w:type="dxa"/>
            <w:right w:w="108" w:type="dxa"/>
          </w:tblCellMar>
        </w:tblPrEx>
        <w:trPr>
          <w:trHeight w:val="900" w:hRule="atLeast"/>
        </w:trPr>
        <w:tc>
          <w:tcPr>
            <w:tcW w:w="233" w:type="pct"/>
            <w:tcBorders>
              <w:top w:val="single" w:color="000000" w:sz="4" w:space="0"/>
              <w:left w:val="single" w:color="000000" w:sz="4" w:space="0"/>
              <w:bottom w:val="single" w:color="000000" w:sz="4" w:space="0"/>
              <w:right w:val="nil"/>
            </w:tcBorders>
            <w:vAlign w:val="center"/>
          </w:tcPr>
          <w:p w14:paraId="0ADF2A8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19</w:t>
            </w:r>
          </w:p>
        </w:tc>
        <w:tc>
          <w:tcPr>
            <w:tcW w:w="294" w:type="pct"/>
            <w:vMerge w:val="continue"/>
            <w:tcBorders>
              <w:top w:val="single" w:color="000000" w:sz="4" w:space="0"/>
              <w:left w:val="single" w:color="000000" w:sz="4" w:space="0"/>
              <w:bottom w:val="single" w:color="000000" w:sz="4" w:space="0"/>
              <w:right w:val="single" w:color="000000" w:sz="4" w:space="0"/>
            </w:tcBorders>
            <w:vAlign w:val="center"/>
          </w:tcPr>
          <w:p w14:paraId="04FB3171">
            <w:pPr>
              <w:widowControl/>
              <w:jc w:val="left"/>
              <w:rPr>
                <w:rFonts w:ascii="宋体" w:hAnsi="宋体" w:eastAsia="宋体" w:cs="宋体"/>
                <w:b/>
                <w:bCs/>
                <w:color w:val="000000"/>
                <w:kern w:val="0"/>
                <w:szCs w:val="21"/>
              </w:rPr>
            </w:pPr>
          </w:p>
        </w:tc>
        <w:tc>
          <w:tcPr>
            <w:tcW w:w="369" w:type="pct"/>
            <w:vMerge w:val="continue"/>
            <w:tcBorders>
              <w:top w:val="single" w:color="000000" w:sz="4" w:space="0"/>
              <w:left w:val="single" w:color="000000" w:sz="4" w:space="0"/>
              <w:bottom w:val="nil"/>
              <w:right w:val="single" w:color="000000" w:sz="4" w:space="0"/>
            </w:tcBorders>
            <w:vAlign w:val="center"/>
          </w:tcPr>
          <w:p w14:paraId="7C79A2DE">
            <w:pPr>
              <w:widowControl/>
              <w:jc w:val="left"/>
              <w:rPr>
                <w:rFonts w:ascii="宋体" w:hAnsi="宋体" w:eastAsia="宋体" w:cs="宋体"/>
                <w:color w:val="000000"/>
                <w:kern w:val="0"/>
                <w:szCs w:val="21"/>
              </w:rPr>
            </w:pPr>
          </w:p>
        </w:tc>
        <w:tc>
          <w:tcPr>
            <w:tcW w:w="429" w:type="pct"/>
            <w:tcBorders>
              <w:top w:val="single" w:color="000000" w:sz="4" w:space="0"/>
              <w:left w:val="single" w:color="000000" w:sz="4" w:space="0"/>
              <w:bottom w:val="single" w:color="000000" w:sz="4" w:space="0"/>
              <w:right w:val="single" w:color="000000" w:sz="4" w:space="0"/>
            </w:tcBorders>
            <w:vAlign w:val="center"/>
          </w:tcPr>
          <w:p w14:paraId="6317A106">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CHS-DIP模拟分组结果展示</w:t>
            </w:r>
          </w:p>
        </w:tc>
        <w:tc>
          <w:tcPr>
            <w:tcW w:w="2551" w:type="pct"/>
            <w:tcBorders>
              <w:top w:val="single" w:color="000000" w:sz="4" w:space="0"/>
              <w:left w:val="single" w:color="000000" w:sz="4" w:space="0"/>
              <w:bottom w:val="single" w:color="000000" w:sz="4" w:space="0"/>
              <w:right w:val="single" w:color="000000" w:sz="4" w:space="0"/>
            </w:tcBorders>
            <w:vAlign w:val="center"/>
          </w:tcPr>
          <w:p w14:paraId="517ECE9F">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调用分组引擎，基于病案信息提前进行模拟分组，展示分组、结算、盈亏、费用结构等重点指标信息</w:t>
            </w:r>
          </w:p>
        </w:tc>
        <w:tc>
          <w:tcPr>
            <w:tcW w:w="530" w:type="pct"/>
            <w:tcBorders>
              <w:top w:val="single" w:color="000000" w:sz="4" w:space="0"/>
              <w:left w:val="single" w:color="000000" w:sz="4" w:space="0"/>
              <w:bottom w:val="single" w:color="000000" w:sz="4" w:space="0"/>
              <w:right w:val="single" w:color="000000" w:sz="4" w:space="0"/>
            </w:tcBorders>
            <w:vAlign w:val="center"/>
          </w:tcPr>
          <w:p w14:paraId="0F707F99">
            <w:pPr>
              <w:widowControl/>
              <w:jc w:val="left"/>
              <w:rPr>
                <w:rFonts w:ascii="宋体" w:hAnsi="宋体" w:eastAsia="宋体" w:cs="宋体"/>
                <w:color w:val="000000"/>
                <w:kern w:val="0"/>
                <w:szCs w:val="21"/>
              </w:rPr>
            </w:pPr>
          </w:p>
        </w:tc>
        <w:tc>
          <w:tcPr>
            <w:tcW w:w="590" w:type="pct"/>
            <w:tcBorders>
              <w:top w:val="single" w:color="000000" w:sz="4" w:space="0"/>
              <w:left w:val="single" w:color="000000" w:sz="4" w:space="0"/>
              <w:bottom w:val="single" w:color="000000" w:sz="4" w:space="0"/>
              <w:right w:val="single" w:color="000000" w:sz="4" w:space="0"/>
            </w:tcBorders>
            <w:vAlign w:val="center"/>
          </w:tcPr>
          <w:p w14:paraId="12A8C968">
            <w:pPr>
              <w:widowControl/>
              <w:jc w:val="left"/>
              <w:rPr>
                <w:rFonts w:ascii="宋体" w:hAnsi="宋体" w:eastAsia="宋体" w:cs="宋体"/>
                <w:color w:val="000000"/>
                <w:kern w:val="0"/>
                <w:szCs w:val="21"/>
              </w:rPr>
            </w:pPr>
          </w:p>
        </w:tc>
      </w:tr>
      <w:tr w14:paraId="60A2035E">
        <w:tblPrEx>
          <w:tblCellMar>
            <w:top w:w="0" w:type="dxa"/>
            <w:left w:w="108" w:type="dxa"/>
            <w:bottom w:w="0" w:type="dxa"/>
            <w:right w:w="108" w:type="dxa"/>
          </w:tblCellMar>
        </w:tblPrEx>
        <w:trPr>
          <w:trHeight w:val="300" w:hRule="atLeast"/>
        </w:trPr>
        <w:tc>
          <w:tcPr>
            <w:tcW w:w="233" w:type="pct"/>
            <w:tcBorders>
              <w:top w:val="single" w:color="000000" w:sz="4" w:space="0"/>
              <w:left w:val="single" w:color="000000" w:sz="4" w:space="0"/>
              <w:bottom w:val="single" w:color="000000" w:sz="4" w:space="0"/>
              <w:right w:val="nil"/>
            </w:tcBorders>
            <w:vAlign w:val="center"/>
          </w:tcPr>
          <w:p w14:paraId="6F98669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20</w:t>
            </w:r>
          </w:p>
        </w:tc>
        <w:tc>
          <w:tcPr>
            <w:tcW w:w="294" w:type="pct"/>
            <w:vMerge w:val="continue"/>
            <w:tcBorders>
              <w:top w:val="single" w:color="000000" w:sz="4" w:space="0"/>
              <w:left w:val="single" w:color="000000" w:sz="4" w:space="0"/>
              <w:bottom w:val="single" w:color="000000" w:sz="4" w:space="0"/>
              <w:right w:val="single" w:color="000000" w:sz="4" w:space="0"/>
            </w:tcBorders>
            <w:vAlign w:val="center"/>
          </w:tcPr>
          <w:p w14:paraId="0EA0AA4F">
            <w:pPr>
              <w:widowControl/>
              <w:jc w:val="left"/>
              <w:rPr>
                <w:rFonts w:ascii="宋体" w:hAnsi="宋体" w:eastAsia="宋体" w:cs="宋体"/>
                <w:b/>
                <w:bCs/>
                <w:color w:val="000000"/>
                <w:kern w:val="0"/>
                <w:szCs w:val="21"/>
              </w:rPr>
            </w:pPr>
          </w:p>
        </w:tc>
        <w:tc>
          <w:tcPr>
            <w:tcW w:w="369" w:type="pct"/>
            <w:vMerge w:val="continue"/>
            <w:tcBorders>
              <w:top w:val="single" w:color="000000" w:sz="4" w:space="0"/>
              <w:left w:val="single" w:color="000000" w:sz="4" w:space="0"/>
              <w:bottom w:val="nil"/>
              <w:right w:val="single" w:color="000000" w:sz="4" w:space="0"/>
            </w:tcBorders>
            <w:vAlign w:val="center"/>
          </w:tcPr>
          <w:p w14:paraId="3F5E67BC">
            <w:pPr>
              <w:widowControl/>
              <w:jc w:val="left"/>
              <w:rPr>
                <w:rFonts w:ascii="宋体" w:hAnsi="宋体" w:eastAsia="宋体" w:cs="宋体"/>
                <w:color w:val="000000"/>
                <w:kern w:val="0"/>
                <w:szCs w:val="21"/>
              </w:rPr>
            </w:pPr>
          </w:p>
        </w:tc>
        <w:tc>
          <w:tcPr>
            <w:tcW w:w="429" w:type="pct"/>
            <w:tcBorders>
              <w:top w:val="single" w:color="000000" w:sz="4" w:space="0"/>
              <w:left w:val="single" w:color="000000" w:sz="4" w:space="0"/>
              <w:bottom w:val="single" w:color="000000" w:sz="4" w:space="0"/>
              <w:right w:val="single" w:color="000000" w:sz="4" w:space="0"/>
            </w:tcBorders>
            <w:vAlign w:val="center"/>
          </w:tcPr>
          <w:p w14:paraId="0246F79E">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病案质控</w:t>
            </w:r>
          </w:p>
        </w:tc>
        <w:tc>
          <w:tcPr>
            <w:tcW w:w="2551" w:type="pct"/>
            <w:tcBorders>
              <w:top w:val="single" w:color="000000" w:sz="4" w:space="0"/>
              <w:left w:val="single" w:color="000000" w:sz="4" w:space="0"/>
              <w:bottom w:val="single" w:color="000000" w:sz="4" w:space="0"/>
              <w:right w:val="single" w:color="000000" w:sz="4" w:space="0"/>
            </w:tcBorders>
            <w:vAlign w:val="center"/>
          </w:tcPr>
          <w:p w14:paraId="0AB31EA3">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调用质控引擎，对预出院患者诊疗信息进行质控，提示质控结果信息</w:t>
            </w:r>
          </w:p>
        </w:tc>
        <w:tc>
          <w:tcPr>
            <w:tcW w:w="530" w:type="pct"/>
            <w:tcBorders>
              <w:top w:val="single" w:color="000000" w:sz="4" w:space="0"/>
              <w:left w:val="single" w:color="000000" w:sz="4" w:space="0"/>
              <w:bottom w:val="single" w:color="000000" w:sz="4" w:space="0"/>
              <w:right w:val="single" w:color="000000" w:sz="4" w:space="0"/>
            </w:tcBorders>
            <w:vAlign w:val="center"/>
          </w:tcPr>
          <w:p w14:paraId="0B9F6E59">
            <w:pPr>
              <w:widowControl/>
              <w:jc w:val="left"/>
              <w:rPr>
                <w:rFonts w:ascii="宋体" w:hAnsi="宋体" w:eastAsia="宋体" w:cs="宋体"/>
                <w:color w:val="000000"/>
                <w:kern w:val="0"/>
                <w:szCs w:val="21"/>
              </w:rPr>
            </w:pPr>
          </w:p>
        </w:tc>
        <w:tc>
          <w:tcPr>
            <w:tcW w:w="590" w:type="pct"/>
            <w:tcBorders>
              <w:top w:val="single" w:color="000000" w:sz="4" w:space="0"/>
              <w:left w:val="single" w:color="000000" w:sz="4" w:space="0"/>
              <w:bottom w:val="single" w:color="000000" w:sz="4" w:space="0"/>
              <w:right w:val="single" w:color="000000" w:sz="4" w:space="0"/>
            </w:tcBorders>
            <w:vAlign w:val="center"/>
          </w:tcPr>
          <w:p w14:paraId="7C0D4CA2">
            <w:pPr>
              <w:widowControl/>
              <w:jc w:val="left"/>
              <w:rPr>
                <w:rFonts w:ascii="宋体" w:hAnsi="宋体" w:eastAsia="宋体" w:cs="宋体"/>
                <w:color w:val="000000"/>
                <w:kern w:val="0"/>
                <w:szCs w:val="21"/>
              </w:rPr>
            </w:pPr>
          </w:p>
        </w:tc>
      </w:tr>
      <w:tr w14:paraId="5E8CF9AD">
        <w:tblPrEx>
          <w:tblCellMar>
            <w:top w:w="0" w:type="dxa"/>
            <w:left w:w="108" w:type="dxa"/>
            <w:bottom w:w="0" w:type="dxa"/>
            <w:right w:w="108" w:type="dxa"/>
          </w:tblCellMar>
        </w:tblPrEx>
        <w:trPr>
          <w:trHeight w:val="300" w:hRule="atLeast"/>
        </w:trPr>
        <w:tc>
          <w:tcPr>
            <w:tcW w:w="233" w:type="pct"/>
            <w:tcBorders>
              <w:top w:val="single" w:color="000000" w:sz="4" w:space="0"/>
              <w:left w:val="single" w:color="000000" w:sz="4" w:space="0"/>
              <w:bottom w:val="single" w:color="000000" w:sz="4" w:space="0"/>
              <w:right w:val="nil"/>
            </w:tcBorders>
            <w:vAlign w:val="center"/>
          </w:tcPr>
          <w:p w14:paraId="0C6F7A2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21</w:t>
            </w:r>
          </w:p>
        </w:tc>
        <w:tc>
          <w:tcPr>
            <w:tcW w:w="294" w:type="pct"/>
            <w:vMerge w:val="continue"/>
            <w:tcBorders>
              <w:top w:val="single" w:color="000000" w:sz="4" w:space="0"/>
              <w:left w:val="single" w:color="000000" w:sz="4" w:space="0"/>
              <w:bottom w:val="single" w:color="000000" w:sz="4" w:space="0"/>
              <w:right w:val="single" w:color="000000" w:sz="4" w:space="0"/>
            </w:tcBorders>
            <w:vAlign w:val="center"/>
          </w:tcPr>
          <w:p w14:paraId="79DC8CD8">
            <w:pPr>
              <w:widowControl/>
              <w:jc w:val="left"/>
              <w:rPr>
                <w:rFonts w:ascii="宋体" w:hAnsi="宋体" w:eastAsia="宋体" w:cs="宋体"/>
                <w:b/>
                <w:bCs/>
                <w:color w:val="000000"/>
                <w:kern w:val="0"/>
                <w:szCs w:val="21"/>
              </w:rPr>
            </w:pPr>
          </w:p>
        </w:tc>
        <w:tc>
          <w:tcPr>
            <w:tcW w:w="369" w:type="pct"/>
            <w:vMerge w:val="continue"/>
            <w:tcBorders>
              <w:top w:val="single" w:color="000000" w:sz="4" w:space="0"/>
              <w:left w:val="single" w:color="000000" w:sz="4" w:space="0"/>
              <w:bottom w:val="nil"/>
              <w:right w:val="single" w:color="000000" w:sz="4" w:space="0"/>
            </w:tcBorders>
            <w:vAlign w:val="center"/>
          </w:tcPr>
          <w:p w14:paraId="2DE95816">
            <w:pPr>
              <w:widowControl/>
              <w:jc w:val="left"/>
              <w:rPr>
                <w:rFonts w:ascii="宋体" w:hAnsi="宋体" w:eastAsia="宋体" w:cs="宋体"/>
                <w:color w:val="000000"/>
                <w:kern w:val="0"/>
                <w:szCs w:val="21"/>
              </w:rPr>
            </w:pPr>
          </w:p>
        </w:tc>
        <w:tc>
          <w:tcPr>
            <w:tcW w:w="429" w:type="pct"/>
            <w:tcBorders>
              <w:top w:val="single" w:color="000000" w:sz="4" w:space="0"/>
              <w:left w:val="single" w:color="000000" w:sz="4" w:space="0"/>
              <w:bottom w:val="single" w:color="000000" w:sz="4" w:space="0"/>
              <w:right w:val="single" w:color="000000" w:sz="4" w:space="0"/>
            </w:tcBorders>
            <w:vAlign w:val="center"/>
          </w:tcPr>
          <w:p w14:paraId="791F1E3B">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病案评分</w:t>
            </w:r>
          </w:p>
        </w:tc>
        <w:tc>
          <w:tcPr>
            <w:tcW w:w="2551" w:type="pct"/>
            <w:tcBorders>
              <w:top w:val="single" w:color="000000" w:sz="4" w:space="0"/>
              <w:left w:val="single" w:color="000000" w:sz="4" w:space="0"/>
              <w:bottom w:val="single" w:color="000000" w:sz="4" w:space="0"/>
              <w:right w:val="single" w:color="000000" w:sz="4" w:space="0"/>
            </w:tcBorders>
            <w:vAlign w:val="center"/>
          </w:tcPr>
          <w:p w14:paraId="1A6FF22C">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调用质控与评分引擎，对预出院患者进行质控评分，展现质控结果与扣分结果，并计算患者的病案得分</w:t>
            </w:r>
          </w:p>
        </w:tc>
        <w:tc>
          <w:tcPr>
            <w:tcW w:w="530" w:type="pct"/>
            <w:tcBorders>
              <w:top w:val="single" w:color="000000" w:sz="4" w:space="0"/>
              <w:left w:val="single" w:color="000000" w:sz="4" w:space="0"/>
              <w:bottom w:val="single" w:color="000000" w:sz="4" w:space="0"/>
              <w:right w:val="single" w:color="000000" w:sz="4" w:space="0"/>
            </w:tcBorders>
            <w:vAlign w:val="center"/>
          </w:tcPr>
          <w:p w14:paraId="074A31B7">
            <w:pPr>
              <w:widowControl/>
              <w:jc w:val="left"/>
              <w:rPr>
                <w:rFonts w:ascii="宋体" w:hAnsi="宋体" w:eastAsia="宋体" w:cs="宋体"/>
                <w:color w:val="000000"/>
                <w:kern w:val="0"/>
                <w:szCs w:val="21"/>
              </w:rPr>
            </w:pPr>
          </w:p>
        </w:tc>
        <w:tc>
          <w:tcPr>
            <w:tcW w:w="590" w:type="pct"/>
            <w:tcBorders>
              <w:top w:val="single" w:color="000000" w:sz="4" w:space="0"/>
              <w:left w:val="single" w:color="000000" w:sz="4" w:space="0"/>
              <w:bottom w:val="single" w:color="000000" w:sz="4" w:space="0"/>
              <w:right w:val="single" w:color="000000" w:sz="4" w:space="0"/>
            </w:tcBorders>
            <w:vAlign w:val="center"/>
          </w:tcPr>
          <w:p w14:paraId="29C379F8">
            <w:pPr>
              <w:widowControl/>
              <w:jc w:val="left"/>
              <w:rPr>
                <w:rFonts w:ascii="宋体" w:hAnsi="宋体" w:eastAsia="宋体" w:cs="宋体"/>
                <w:color w:val="000000"/>
                <w:kern w:val="0"/>
                <w:szCs w:val="21"/>
              </w:rPr>
            </w:pPr>
          </w:p>
        </w:tc>
      </w:tr>
      <w:tr w14:paraId="3631E841">
        <w:tblPrEx>
          <w:tblCellMar>
            <w:top w:w="0" w:type="dxa"/>
            <w:left w:w="108" w:type="dxa"/>
            <w:bottom w:w="0" w:type="dxa"/>
            <w:right w:w="108" w:type="dxa"/>
          </w:tblCellMar>
        </w:tblPrEx>
        <w:trPr>
          <w:trHeight w:val="600" w:hRule="atLeast"/>
        </w:trPr>
        <w:tc>
          <w:tcPr>
            <w:tcW w:w="233" w:type="pct"/>
            <w:tcBorders>
              <w:top w:val="single" w:color="000000" w:sz="4" w:space="0"/>
              <w:left w:val="single" w:color="000000" w:sz="4" w:space="0"/>
              <w:bottom w:val="single" w:color="000000" w:sz="4" w:space="0"/>
              <w:right w:val="nil"/>
            </w:tcBorders>
            <w:vAlign w:val="center"/>
          </w:tcPr>
          <w:p w14:paraId="61363CC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22</w:t>
            </w:r>
          </w:p>
        </w:tc>
        <w:tc>
          <w:tcPr>
            <w:tcW w:w="294" w:type="pct"/>
            <w:vMerge w:val="continue"/>
            <w:tcBorders>
              <w:top w:val="single" w:color="000000" w:sz="4" w:space="0"/>
              <w:left w:val="single" w:color="000000" w:sz="4" w:space="0"/>
              <w:bottom w:val="single" w:color="000000" w:sz="4" w:space="0"/>
              <w:right w:val="single" w:color="000000" w:sz="4" w:space="0"/>
            </w:tcBorders>
            <w:vAlign w:val="center"/>
          </w:tcPr>
          <w:p w14:paraId="273533B3">
            <w:pPr>
              <w:widowControl/>
              <w:jc w:val="left"/>
              <w:rPr>
                <w:rFonts w:ascii="宋体" w:hAnsi="宋体" w:eastAsia="宋体" w:cs="宋体"/>
                <w:b/>
                <w:bCs/>
                <w:color w:val="000000"/>
                <w:kern w:val="0"/>
                <w:szCs w:val="21"/>
              </w:rPr>
            </w:pPr>
          </w:p>
        </w:tc>
        <w:tc>
          <w:tcPr>
            <w:tcW w:w="369" w:type="pct"/>
            <w:vMerge w:val="continue"/>
            <w:tcBorders>
              <w:top w:val="single" w:color="000000" w:sz="4" w:space="0"/>
              <w:left w:val="single" w:color="000000" w:sz="4" w:space="0"/>
              <w:bottom w:val="nil"/>
              <w:right w:val="single" w:color="000000" w:sz="4" w:space="0"/>
            </w:tcBorders>
            <w:vAlign w:val="center"/>
          </w:tcPr>
          <w:p w14:paraId="561A8835">
            <w:pPr>
              <w:widowControl/>
              <w:jc w:val="left"/>
              <w:rPr>
                <w:rFonts w:ascii="宋体" w:hAnsi="宋体" w:eastAsia="宋体" w:cs="宋体"/>
                <w:color w:val="000000"/>
                <w:kern w:val="0"/>
                <w:szCs w:val="21"/>
              </w:rPr>
            </w:pPr>
          </w:p>
        </w:tc>
        <w:tc>
          <w:tcPr>
            <w:tcW w:w="429" w:type="pct"/>
            <w:tcBorders>
              <w:top w:val="single" w:color="000000" w:sz="4" w:space="0"/>
              <w:left w:val="single" w:color="000000" w:sz="4" w:space="0"/>
              <w:bottom w:val="single" w:color="000000" w:sz="4" w:space="0"/>
              <w:right w:val="single" w:color="000000" w:sz="4" w:space="0"/>
            </w:tcBorders>
            <w:vAlign w:val="center"/>
          </w:tcPr>
          <w:p w14:paraId="0FE5B4B1">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医院系统融合内嵌</w:t>
            </w:r>
          </w:p>
        </w:tc>
        <w:tc>
          <w:tcPr>
            <w:tcW w:w="2551" w:type="pct"/>
            <w:tcBorders>
              <w:top w:val="single" w:color="000000" w:sz="4" w:space="0"/>
              <w:left w:val="single" w:color="000000" w:sz="4" w:space="0"/>
              <w:bottom w:val="single" w:color="000000" w:sz="4" w:space="0"/>
              <w:right w:val="single" w:color="000000" w:sz="4" w:space="0"/>
            </w:tcBorders>
            <w:vAlign w:val="center"/>
          </w:tcPr>
          <w:p w14:paraId="26061574">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提供的产品应对预出院及出院患者进行监控。支持点击内嵌按钮，实现自动弹窗，并实现分组质控情况展示。</w:t>
            </w:r>
          </w:p>
        </w:tc>
        <w:tc>
          <w:tcPr>
            <w:tcW w:w="530" w:type="pct"/>
            <w:tcBorders>
              <w:top w:val="single" w:color="000000" w:sz="4" w:space="0"/>
              <w:left w:val="single" w:color="000000" w:sz="4" w:space="0"/>
              <w:bottom w:val="single" w:color="000000" w:sz="4" w:space="0"/>
              <w:right w:val="single" w:color="000000" w:sz="4" w:space="0"/>
            </w:tcBorders>
            <w:vAlign w:val="center"/>
          </w:tcPr>
          <w:p w14:paraId="2363D7A1">
            <w:pPr>
              <w:widowControl/>
              <w:jc w:val="left"/>
              <w:rPr>
                <w:rFonts w:ascii="宋体" w:hAnsi="宋体" w:eastAsia="宋体" w:cs="宋体"/>
                <w:color w:val="000000"/>
                <w:kern w:val="0"/>
                <w:szCs w:val="21"/>
              </w:rPr>
            </w:pPr>
          </w:p>
        </w:tc>
        <w:tc>
          <w:tcPr>
            <w:tcW w:w="590" w:type="pct"/>
            <w:tcBorders>
              <w:top w:val="single" w:color="000000" w:sz="4" w:space="0"/>
              <w:left w:val="single" w:color="000000" w:sz="4" w:space="0"/>
              <w:bottom w:val="single" w:color="000000" w:sz="4" w:space="0"/>
              <w:right w:val="single" w:color="000000" w:sz="4" w:space="0"/>
            </w:tcBorders>
            <w:vAlign w:val="center"/>
          </w:tcPr>
          <w:p w14:paraId="0D2B0B11">
            <w:pPr>
              <w:widowControl/>
              <w:jc w:val="left"/>
              <w:rPr>
                <w:rFonts w:ascii="宋体" w:hAnsi="宋体" w:eastAsia="宋体" w:cs="宋体"/>
                <w:color w:val="000000"/>
                <w:kern w:val="0"/>
                <w:szCs w:val="21"/>
              </w:rPr>
            </w:pPr>
          </w:p>
        </w:tc>
      </w:tr>
      <w:tr w14:paraId="5C873038">
        <w:tblPrEx>
          <w:tblCellMar>
            <w:top w:w="0" w:type="dxa"/>
            <w:left w:w="108" w:type="dxa"/>
            <w:bottom w:w="0" w:type="dxa"/>
            <w:right w:w="108" w:type="dxa"/>
          </w:tblCellMar>
        </w:tblPrEx>
        <w:trPr>
          <w:trHeight w:val="5700" w:hRule="atLeast"/>
        </w:trPr>
        <w:tc>
          <w:tcPr>
            <w:tcW w:w="233" w:type="pct"/>
            <w:tcBorders>
              <w:top w:val="single" w:color="000000" w:sz="4" w:space="0"/>
              <w:left w:val="single" w:color="000000" w:sz="4" w:space="0"/>
              <w:bottom w:val="single" w:color="000000" w:sz="4" w:space="0"/>
              <w:right w:val="nil"/>
            </w:tcBorders>
            <w:vAlign w:val="center"/>
          </w:tcPr>
          <w:p w14:paraId="4DD99D0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23</w:t>
            </w:r>
          </w:p>
        </w:tc>
        <w:tc>
          <w:tcPr>
            <w:tcW w:w="294" w:type="pct"/>
            <w:vMerge w:val="restart"/>
            <w:tcBorders>
              <w:top w:val="single" w:color="000000" w:sz="4" w:space="0"/>
              <w:left w:val="single" w:color="000000" w:sz="4" w:space="0"/>
              <w:bottom w:val="single" w:color="000000" w:sz="4" w:space="0"/>
              <w:right w:val="single" w:color="000000" w:sz="4" w:space="0"/>
            </w:tcBorders>
            <w:vAlign w:val="center"/>
          </w:tcPr>
          <w:p w14:paraId="7D62D6D4">
            <w:pPr>
              <w:widowControl/>
              <w:jc w:val="center"/>
              <w:rPr>
                <w:rFonts w:ascii="宋体" w:hAnsi="宋体" w:eastAsia="宋体" w:cs="宋体"/>
                <w:b/>
                <w:bCs/>
                <w:color w:val="000000"/>
                <w:kern w:val="0"/>
                <w:szCs w:val="21"/>
              </w:rPr>
            </w:pPr>
            <w:r>
              <w:rPr>
                <w:rFonts w:hint="eastAsia" w:ascii="宋体" w:hAnsi="宋体" w:eastAsia="宋体" w:cs="宋体"/>
                <w:b/>
                <w:bCs/>
                <w:color w:val="000000"/>
                <w:kern w:val="0"/>
                <w:szCs w:val="21"/>
              </w:rPr>
              <w:t>清单质控系统</w:t>
            </w:r>
          </w:p>
        </w:tc>
        <w:tc>
          <w:tcPr>
            <w:tcW w:w="369" w:type="pct"/>
            <w:tcBorders>
              <w:top w:val="single" w:color="000000" w:sz="4" w:space="0"/>
              <w:left w:val="single" w:color="000000" w:sz="4" w:space="0"/>
              <w:bottom w:val="single" w:color="000000" w:sz="4" w:space="0"/>
              <w:right w:val="single" w:color="000000" w:sz="4" w:space="0"/>
            </w:tcBorders>
            <w:vAlign w:val="center"/>
          </w:tcPr>
          <w:p w14:paraId="3EC612F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医院系统首页</w:t>
            </w:r>
          </w:p>
        </w:tc>
        <w:tc>
          <w:tcPr>
            <w:tcW w:w="429" w:type="pct"/>
            <w:tcBorders>
              <w:top w:val="single" w:color="000000" w:sz="4" w:space="0"/>
              <w:left w:val="single" w:color="000000" w:sz="4" w:space="0"/>
              <w:bottom w:val="single" w:color="000000" w:sz="4" w:space="0"/>
              <w:right w:val="single" w:color="000000" w:sz="4" w:space="0"/>
            </w:tcBorders>
            <w:vAlign w:val="center"/>
          </w:tcPr>
          <w:p w14:paraId="4C56D91E">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医院系统首页</w:t>
            </w:r>
          </w:p>
        </w:tc>
        <w:tc>
          <w:tcPr>
            <w:tcW w:w="2551" w:type="pct"/>
            <w:tcBorders>
              <w:top w:val="single" w:color="000000" w:sz="4" w:space="0"/>
              <w:left w:val="single" w:color="000000" w:sz="4" w:space="0"/>
              <w:bottom w:val="single" w:color="000000" w:sz="4" w:space="0"/>
              <w:right w:val="single" w:color="000000" w:sz="4" w:space="0"/>
            </w:tcBorders>
            <w:vAlign w:val="center"/>
          </w:tcPr>
          <w:p w14:paraId="19BAA718">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提供产品支持以下功能：</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1.审核情况：展示所选时间范围内医院清单审核各维度情况，包括完成审核与未完成审核清单数量、清单违规占比、修正前后评分对比以及各审核流审核进度图示;支持总清单、已审核和审核中清单的病例明细下钻；</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2.分组与付费情况：展示所选时间范围内医院清单分组与付费重要指标的统计值与同比变化情况;支持病例下钻；</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3.效益分析：展示所选时间范围内医院经过质控审核流程控制后给医院带来的经济效益变化情况，可支持切换到科室横向分析维度，包括效益差、效益占比等指标的可视化图;</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4.综合分析：</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4.1.展示所选时间范围内医院违反各类规则的清单总量可视化图表，支持对应病例下钻和数据导出；</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4.2.展示所选时间范围内按清单模块与字段分类的违规清单总量可视化图表，支持违规清单下钻和数据导出；</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4.3.展示所选时间范围内按科室维度统计的违规清单总量可视化图，支持科室筛选查询和数据导出；</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4.4.展示所选时间范围内按清单14个费用结构划分的费用占比可视化图表，支持科室筛选查询和数据导出；</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4.5.展示所选时间范围内未入组例数、入组率趋势分析以及未入组原因分布的可视化图，支持科室筛选查询；</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4.6.展示所选时间范围内编码员所属清单的入组情况分析；</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4.7.展示所选时间范围内麻醉医师、术者医师所施手术的类别统计分析表，支持医师筛选和数据导出。</w:t>
            </w:r>
          </w:p>
        </w:tc>
        <w:tc>
          <w:tcPr>
            <w:tcW w:w="530" w:type="pct"/>
            <w:tcBorders>
              <w:top w:val="single" w:color="000000" w:sz="4" w:space="0"/>
              <w:left w:val="single" w:color="000000" w:sz="4" w:space="0"/>
              <w:bottom w:val="single" w:color="000000" w:sz="4" w:space="0"/>
              <w:right w:val="single" w:color="000000" w:sz="4" w:space="0"/>
            </w:tcBorders>
            <w:vAlign w:val="center"/>
          </w:tcPr>
          <w:p w14:paraId="38EEB337">
            <w:pPr>
              <w:widowControl/>
              <w:jc w:val="left"/>
              <w:rPr>
                <w:rFonts w:ascii="宋体" w:hAnsi="宋体" w:eastAsia="宋体" w:cs="宋体"/>
                <w:color w:val="000000"/>
                <w:kern w:val="0"/>
                <w:szCs w:val="21"/>
              </w:rPr>
            </w:pPr>
          </w:p>
        </w:tc>
        <w:tc>
          <w:tcPr>
            <w:tcW w:w="590" w:type="pct"/>
            <w:tcBorders>
              <w:top w:val="single" w:color="000000" w:sz="4" w:space="0"/>
              <w:left w:val="single" w:color="000000" w:sz="4" w:space="0"/>
              <w:bottom w:val="single" w:color="000000" w:sz="4" w:space="0"/>
              <w:right w:val="single" w:color="000000" w:sz="4" w:space="0"/>
            </w:tcBorders>
            <w:vAlign w:val="center"/>
          </w:tcPr>
          <w:p w14:paraId="14698E57">
            <w:pPr>
              <w:widowControl/>
              <w:jc w:val="left"/>
              <w:rPr>
                <w:rFonts w:ascii="宋体" w:hAnsi="宋体" w:eastAsia="宋体" w:cs="宋体"/>
                <w:color w:val="000000"/>
                <w:kern w:val="0"/>
                <w:szCs w:val="21"/>
              </w:rPr>
            </w:pPr>
          </w:p>
        </w:tc>
      </w:tr>
      <w:tr w14:paraId="53EBCFFE">
        <w:tblPrEx>
          <w:tblCellMar>
            <w:top w:w="0" w:type="dxa"/>
            <w:left w:w="108" w:type="dxa"/>
            <w:bottom w:w="0" w:type="dxa"/>
            <w:right w:w="108" w:type="dxa"/>
          </w:tblCellMar>
        </w:tblPrEx>
        <w:trPr>
          <w:trHeight w:val="900" w:hRule="atLeast"/>
        </w:trPr>
        <w:tc>
          <w:tcPr>
            <w:tcW w:w="233" w:type="pct"/>
            <w:tcBorders>
              <w:top w:val="single" w:color="000000" w:sz="4" w:space="0"/>
              <w:left w:val="single" w:color="000000" w:sz="4" w:space="0"/>
              <w:bottom w:val="single" w:color="000000" w:sz="4" w:space="0"/>
              <w:right w:val="nil"/>
            </w:tcBorders>
            <w:vAlign w:val="center"/>
          </w:tcPr>
          <w:p w14:paraId="68E41E7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24</w:t>
            </w:r>
          </w:p>
        </w:tc>
        <w:tc>
          <w:tcPr>
            <w:tcW w:w="294" w:type="pct"/>
            <w:vMerge w:val="continue"/>
            <w:tcBorders>
              <w:top w:val="single" w:color="000000" w:sz="4" w:space="0"/>
              <w:left w:val="single" w:color="000000" w:sz="4" w:space="0"/>
              <w:bottom w:val="single" w:color="000000" w:sz="4" w:space="0"/>
              <w:right w:val="single" w:color="000000" w:sz="4" w:space="0"/>
            </w:tcBorders>
            <w:vAlign w:val="center"/>
          </w:tcPr>
          <w:p w14:paraId="4AE4D1C1">
            <w:pPr>
              <w:widowControl/>
              <w:jc w:val="left"/>
              <w:rPr>
                <w:rFonts w:ascii="宋体" w:hAnsi="宋体" w:eastAsia="宋体" w:cs="宋体"/>
                <w:b/>
                <w:bCs/>
                <w:color w:val="000000"/>
                <w:kern w:val="0"/>
                <w:szCs w:val="21"/>
              </w:rPr>
            </w:pPr>
          </w:p>
        </w:tc>
        <w:tc>
          <w:tcPr>
            <w:tcW w:w="369" w:type="pct"/>
            <w:vMerge w:val="restart"/>
            <w:tcBorders>
              <w:top w:val="single" w:color="000000" w:sz="4" w:space="0"/>
              <w:left w:val="single" w:color="000000" w:sz="4" w:space="0"/>
              <w:bottom w:val="single" w:color="000000" w:sz="4" w:space="0"/>
              <w:right w:val="single" w:color="000000" w:sz="4" w:space="0"/>
            </w:tcBorders>
            <w:vAlign w:val="center"/>
          </w:tcPr>
          <w:p w14:paraId="2DBB6FF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质控审核</w:t>
            </w:r>
          </w:p>
        </w:tc>
        <w:tc>
          <w:tcPr>
            <w:tcW w:w="429" w:type="pct"/>
            <w:tcBorders>
              <w:top w:val="single" w:color="000000" w:sz="4" w:space="0"/>
              <w:left w:val="single" w:color="000000" w:sz="4" w:space="0"/>
              <w:bottom w:val="single" w:color="000000" w:sz="4" w:space="0"/>
              <w:right w:val="nil"/>
            </w:tcBorders>
            <w:vAlign w:val="center"/>
          </w:tcPr>
          <w:p w14:paraId="644105C7">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审核节点/审核流自定义配置</w:t>
            </w:r>
          </w:p>
        </w:tc>
        <w:tc>
          <w:tcPr>
            <w:tcW w:w="2551" w:type="pct"/>
            <w:tcBorders>
              <w:top w:val="single" w:color="000000" w:sz="4" w:space="0"/>
              <w:left w:val="single" w:color="000000" w:sz="4" w:space="0"/>
              <w:bottom w:val="single" w:color="000000" w:sz="4" w:space="0"/>
              <w:right w:val="single" w:color="000000" w:sz="4" w:space="0"/>
            </w:tcBorders>
            <w:vAlign w:val="center"/>
          </w:tcPr>
          <w:p w14:paraId="79D88E98">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1.系统内置初审、复审、终审等审核流，根据医院管理进行自定义配置，最多支持5个节点配置；</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2.支持定义不同审核流用户可编辑的清单区域。</w:t>
            </w:r>
          </w:p>
        </w:tc>
        <w:tc>
          <w:tcPr>
            <w:tcW w:w="530" w:type="pct"/>
            <w:tcBorders>
              <w:top w:val="single" w:color="000000" w:sz="4" w:space="0"/>
              <w:left w:val="single" w:color="000000" w:sz="4" w:space="0"/>
              <w:bottom w:val="single" w:color="000000" w:sz="4" w:space="0"/>
              <w:right w:val="single" w:color="000000" w:sz="4" w:space="0"/>
            </w:tcBorders>
            <w:vAlign w:val="center"/>
          </w:tcPr>
          <w:p w14:paraId="44D89B9F">
            <w:pPr>
              <w:widowControl/>
              <w:jc w:val="left"/>
              <w:rPr>
                <w:rFonts w:ascii="宋体" w:hAnsi="宋体" w:eastAsia="宋体" w:cs="宋体"/>
                <w:color w:val="000000"/>
                <w:kern w:val="0"/>
                <w:szCs w:val="21"/>
              </w:rPr>
            </w:pPr>
          </w:p>
        </w:tc>
        <w:tc>
          <w:tcPr>
            <w:tcW w:w="590" w:type="pct"/>
            <w:tcBorders>
              <w:top w:val="single" w:color="000000" w:sz="4" w:space="0"/>
              <w:left w:val="single" w:color="000000" w:sz="4" w:space="0"/>
              <w:bottom w:val="single" w:color="000000" w:sz="4" w:space="0"/>
              <w:right w:val="single" w:color="000000" w:sz="4" w:space="0"/>
            </w:tcBorders>
            <w:vAlign w:val="center"/>
          </w:tcPr>
          <w:p w14:paraId="6E054423">
            <w:pPr>
              <w:widowControl/>
              <w:jc w:val="left"/>
              <w:rPr>
                <w:rFonts w:ascii="宋体" w:hAnsi="宋体" w:eastAsia="宋体" w:cs="宋体"/>
                <w:color w:val="000000"/>
                <w:kern w:val="0"/>
                <w:szCs w:val="21"/>
              </w:rPr>
            </w:pPr>
          </w:p>
        </w:tc>
      </w:tr>
      <w:tr w14:paraId="112E6746">
        <w:tblPrEx>
          <w:tblCellMar>
            <w:top w:w="0" w:type="dxa"/>
            <w:left w:w="108" w:type="dxa"/>
            <w:bottom w:w="0" w:type="dxa"/>
            <w:right w:w="108" w:type="dxa"/>
          </w:tblCellMar>
        </w:tblPrEx>
        <w:trPr>
          <w:trHeight w:val="4500" w:hRule="atLeast"/>
        </w:trPr>
        <w:tc>
          <w:tcPr>
            <w:tcW w:w="233" w:type="pct"/>
            <w:tcBorders>
              <w:top w:val="single" w:color="000000" w:sz="4" w:space="0"/>
              <w:left w:val="single" w:color="000000" w:sz="4" w:space="0"/>
              <w:bottom w:val="single" w:color="000000" w:sz="4" w:space="0"/>
              <w:right w:val="nil"/>
            </w:tcBorders>
            <w:vAlign w:val="center"/>
          </w:tcPr>
          <w:p w14:paraId="0D1031C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25</w:t>
            </w:r>
          </w:p>
        </w:tc>
        <w:tc>
          <w:tcPr>
            <w:tcW w:w="294" w:type="pct"/>
            <w:vMerge w:val="continue"/>
            <w:tcBorders>
              <w:top w:val="single" w:color="000000" w:sz="4" w:space="0"/>
              <w:left w:val="single" w:color="000000" w:sz="4" w:space="0"/>
              <w:bottom w:val="single" w:color="000000" w:sz="4" w:space="0"/>
              <w:right w:val="single" w:color="000000" w:sz="4" w:space="0"/>
            </w:tcBorders>
            <w:vAlign w:val="center"/>
          </w:tcPr>
          <w:p w14:paraId="14838239">
            <w:pPr>
              <w:widowControl/>
              <w:jc w:val="left"/>
              <w:rPr>
                <w:rFonts w:ascii="宋体" w:hAnsi="宋体" w:eastAsia="宋体" w:cs="宋体"/>
                <w:b/>
                <w:bCs/>
                <w:color w:val="000000"/>
                <w:kern w:val="0"/>
                <w:szCs w:val="21"/>
              </w:rPr>
            </w:pPr>
          </w:p>
        </w:tc>
        <w:tc>
          <w:tcPr>
            <w:tcW w:w="369" w:type="pct"/>
            <w:vMerge w:val="continue"/>
            <w:tcBorders>
              <w:top w:val="single" w:color="000000" w:sz="4" w:space="0"/>
              <w:left w:val="single" w:color="000000" w:sz="4" w:space="0"/>
              <w:bottom w:val="single" w:color="000000" w:sz="4" w:space="0"/>
              <w:right w:val="single" w:color="000000" w:sz="4" w:space="0"/>
            </w:tcBorders>
            <w:vAlign w:val="center"/>
          </w:tcPr>
          <w:p w14:paraId="55E40471">
            <w:pPr>
              <w:widowControl/>
              <w:jc w:val="left"/>
              <w:rPr>
                <w:rFonts w:ascii="宋体" w:hAnsi="宋体" w:eastAsia="宋体" w:cs="宋体"/>
                <w:color w:val="000000"/>
                <w:kern w:val="0"/>
                <w:szCs w:val="21"/>
              </w:rPr>
            </w:pPr>
          </w:p>
        </w:tc>
        <w:tc>
          <w:tcPr>
            <w:tcW w:w="429" w:type="pct"/>
            <w:vMerge w:val="restart"/>
            <w:tcBorders>
              <w:top w:val="single" w:color="000000" w:sz="4" w:space="0"/>
              <w:left w:val="single" w:color="000000" w:sz="4" w:space="0"/>
              <w:bottom w:val="single" w:color="000000" w:sz="4" w:space="0"/>
              <w:right w:val="nil"/>
            </w:tcBorders>
            <w:vAlign w:val="center"/>
          </w:tcPr>
          <w:p w14:paraId="64BC11A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清单审核</w:t>
            </w:r>
          </w:p>
        </w:tc>
        <w:tc>
          <w:tcPr>
            <w:tcW w:w="2551" w:type="pct"/>
            <w:tcBorders>
              <w:top w:val="single" w:color="000000" w:sz="4" w:space="0"/>
              <w:left w:val="single" w:color="000000" w:sz="4" w:space="0"/>
              <w:bottom w:val="single" w:color="000000" w:sz="4" w:space="0"/>
              <w:right w:val="single" w:color="000000" w:sz="4" w:space="0"/>
            </w:tcBorders>
            <w:vAlign w:val="center"/>
          </w:tcPr>
          <w:p w14:paraId="23F8F2B2">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根据不同审核流进行清单质控审核，审核界面包括各类筛选条件、审核清单列表、质控违规结果、反馈意见等内容：</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1.筛选条件：</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支持按结算时间、入院时间、出院时间等时间类型筛选清单；</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支持科室、违规情况、患者身份、住院号、诊断、手术等条件的综合查询，快速定位审核清单；</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2.审核过程：</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支持清单单条、多条、批量审核；</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支持重点病例标注，重点病例支持自定义设置；</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支持审核界面显示字段自定义；</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支持审核病例数据导出；</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支持查看审核日志详情，了解清单信息修改情况；</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支持清单违反审核规则分类显示，定位违规类别；</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支持显示结算状态和距离结算天数并排序，方便用户按紧急程度进行审核；</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支持快速添加审核诊断、手术建议；</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支持所选清单的实时重新抽取。</w:t>
            </w:r>
          </w:p>
        </w:tc>
        <w:tc>
          <w:tcPr>
            <w:tcW w:w="530" w:type="pct"/>
            <w:tcBorders>
              <w:top w:val="single" w:color="000000" w:sz="4" w:space="0"/>
              <w:left w:val="single" w:color="000000" w:sz="4" w:space="0"/>
              <w:bottom w:val="single" w:color="000000" w:sz="4" w:space="0"/>
              <w:right w:val="single" w:color="000000" w:sz="4" w:space="0"/>
            </w:tcBorders>
            <w:vAlign w:val="center"/>
          </w:tcPr>
          <w:p w14:paraId="47EA7712">
            <w:pPr>
              <w:widowControl/>
              <w:jc w:val="left"/>
              <w:rPr>
                <w:rFonts w:ascii="宋体" w:hAnsi="宋体" w:eastAsia="宋体" w:cs="宋体"/>
                <w:color w:val="000000"/>
                <w:kern w:val="0"/>
                <w:szCs w:val="21"/>
              </w:rPr>
            </w:pPr>
          </w:p>
        </w:tc>
        <w:tc>
          <w:tcPr>
            <w:tcW w:w="590" w:type="pct"/>
            <w:tcBorders>
              <w:top w:val="single" w:color="000000" w:sz="4" w:space="0"/>
              <w:left w:val="single" w:color="000000" w:sz="4" w:space="0"/>
              <w:bottom w:val="single" w:color="000000" w:sz="4" w:space="0"/>
              <w:right w:val="single" w:color="000000" w:sz="4" w:space="0"/>
            </w:tcBorders>
            <w:vAlign w:val="center"/>
          </w:tcPr>
          <w:p w14:paraId="2F3CD216">
            <w:pPr>
              <w:widowControl/>
              <w:jc w:val="left"/>
              <w:rPr>
                <w:rFonts w:ascii="宋体" w:hAnsi="宋体" w:eastAsia="宋体" w:cs="宋体"/>
                <w:color w:val="000000"/>
                <w:kern w:val="0"/>
                <w:szCs w:val="21"/>
              </w:rPr>
            </w:pPr>
          </w:p>
        </w:tc>
      </w:tr>
      <w:tr w14:paraId="54FE79C1">
        <w:tblPrEx>
          <w:tblCellMar>
            <w:top w:w="0" w:type="dxa"/>
            <w:left w:w="108" w:type="dxa"/>
            <w:bottom w:w="0" w:type="dxa"/>
            <w:right w:w="108" w:type="dxa"/>
          </w:tblCellMar>
        </w:tblPrEx>
        <w:trPr>
          <w:trHeight w:val="5400" w:hRule="atLeast"/>
        </w:trPr>
        <w:tc>
          <w:tcPr>
            <w:tcW w:w="233" w:type="pct"/>
            <w:tcBorders>
              <w:top w:val="single" w:color="000000" w:sz="4" w:space="0"/>
              <w:left w:val="single" w:color="000000" w:sz="4" w:space="0"/>
              <w:bottom w:val="single" w:color="000000" w:sz="4" w:space="0"/>
              <w:right w:val="nil"/>
            </w:tcBorders>
            <w:vAlign w:val="center"/>
          </w:tcPr>
          <w:p w14:paraId="74FA7E9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26</w:t>
            </w:r>
          </w:p>
        </w:tc>
        <w:tc>
          <w:tcPr>
            <w:tcW w:w="294" w:type="pct"/>
            <w:vMerge w:val="continue"/>
            <w:tcBorders>
              <w:top w:val="single" w:color="000000" w:sz="4" w:space="0"/>
              <w:left w:val="single" w:color="000000" w:sz="4" w:space="0"/>
              <w:bottom w:val="single" w:color="000000" w:sz="4" w:space="0"/>
              <w:right w:val="single" w:color="000000" w:sz="4" w:space="0"/>
            </w:tcBorders>
            <w:vAlign w:val="center"/>
          </w:tcPr>
          <w:p w14:paraId="61F47B85">
            <w:pPr>
              <w:widowControl/>
              <w:jc w:val="left"/>
              <w:rPr>
                <w:rFonts w:ascii="宋体" w:hAnsi="宋体" w:eastAsia="宋体" w:cs="宋体"/>
                <w:b/>
                <w:bCs/>
                <w:color w:val="000000"/>
                <w:kern w:val="0"/>
                <w:szCs w:val="21"/>
              </w:rPr>
            </w:pPr>
          </w:p>
        </w:tc>
        <w:tc>
          <w:tcPr>
            <w:tcW w:w="369" w:type="pct"/>
            <w:vMerge w:val="continue"/>
            <w:tcBorders>
              <w:top w:val="single" w:color="000000" w:sz="4" w:space="0"/>
              <w:left w:val="single" w:color="000000" w:sz="4" w:space="0"/>
              <w:bottom w:val="single" w:color="000000" w:sz="4" w:space="0"/>
              <w:right w:val="single" w:color="000000" w:sz="4" w:space="0"/>
            </w:tcBorders>
            <w:vAlign w:val="center"/>
          </w:tcPr>
          <w:p w14:paraId="75E00831">
            <w:pPr>
              <w:widowControl/>
              <w:jc w:val="left"/>
              <w:rPr>
                <w:rFonts w:ascii="宋体" w:hAnsi="宋体" w:eastAsia="宋体" w:cs="宋体"/>
                <w:color w:val="000000"/>
                <w:kern w:val="0"/>
                <w:szCs w:val="21"/>
              </w:rPr>
            </w:pPr>
          </w:p>
        </w:tc>
        <w:tc>
          <w:tcPr>
            <w:tcW w:w="429" w:type="pct"/>
            <w:vMerge w:val="continue"/>
            <w:tcBorders>
              <w:top w:val="single" w:color="000000" w:sz="4" w:space="0"/>
              <w:left w:val="single" w:color="000000" w:sz="4" w:space="0"/>
              <w:bottom w:val="single" w:color="000000" w:sz="4" w:space="0"/>
              <w:right w:val="nil"/>
            </w:tcBorders>
            <w:vAlign w:val="center"/>
          </w:tcPr>
          <w:p w14:paraId="59740754">
            <w:pPr>
              <w:widowControl/>
              <w:jc w:val="left"/>
              <w:rPr>
                <w:rFonts w:ascii="宋体" w:hAnsi="宋体" w:eastAsia="宋体" w:cs="宋体"/>
                <w:color w:val="000000"/>
                <w:kern w:val="0"/>
                <w:szCs w:val="21"/>
              </w:rPr>
            </w:pPr>
          </w:p>
        </w:tc>
        <w:tc>
          <w:tcPr>
            <w:tcW w:w="2551" w:type="pct"/>
            <w:tcBorders>
              <w:top w:val="single" w:color="000000" w:sz="4" w:space="0"/>
              <w:left w:val="single" w:color="000000" w:sz="4" w:space="0"/>
              <w:bottom w:val="single" w:color="000000" w:sz="4" w:space="0"/>
              <w:right w:val="single" w:color="000000" w:sz="4" w:space="0"/>
            </w:tcBorders>
            <w:vAlign w:val="center"/>
          </w:tcPr>
          <w:p w14:paraId="0387E6DF">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3.清单详情：</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支持各审核角色便捷查看结算清单全貌，并按权限进行编辑；</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支持下载、打印结算清单，并与国家发布的《医疗保障基金结算清单》制式一致；</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支持医保DIP结算与非DIP结算数据审核；</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3.1.清单详情：展示患者的清单详情信息，可使用书签定位清单具体模块;</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3.2.DIP模拟分组与结算：调用分组与结算引擎，对患者诊疗与费用信息进行DIP模拟分组与结算，展现分组、结算、盈亏、费用结构等重点指标信息;</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3.3.指标配置：分组结算相关字段信息支持配置是否展示以及展示名称，DIP可配置字段包括诊断信息、手术信息、目录类别、病种分值、支付标准、预测盈亏、病例类型、费用明细、更多组合、医疗总费用、药占比、耗占比、检查检验占比、住院日、再入院提示等，支持一键引用分组推荐中的诊断手术信息；</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3.4.清单质控：调用质控引擎，对预出院/预结算患者诊疗与费用信息进行清单质控，提示质控结果信息，根据质控规则严重程度，对质控结果分为严重违规、一般违规、提示违规;</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3.5.清单评分：调用质控与评分引擎，对预出院/预结算患者进行质控评分，展现质控结果与扣分结果，并计算患者的清单得分；</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3.6.费用游标：根据患者住院的诊疗信息预测分组结果，结合当地政策信息，生成医院病组参考值和费用预警信息；通过可视化图示，直观有效的展示病例类型及费用预警结果；对低倍率、标准值、高倍率的界值进行展示，提供给医生进行费用参考；</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3.7.反馈意见：支持查看审核人员对于该清单的审批意见；</w:t>
            </w:r>
          </w:p>
        </w:tc>
        <w:tc>
          <w:tcPr>
            <w:tcW w:w="530" w:type="pct"/>
            <w:tcBorders>
              <w:top w:val="single" w:color="000000" w:sz="4" w:space="0"/>
              <w:left w:val="single" w:color="000000" w:sz="4" w:space="0"/>
              <w:bottom w:val="single" w:color="000000" w:sz="4" w:space="0"/>
              <w:right w:val="single" w:color="000000" w:sz="4" w:space="0"/>
            </w:tcBorders>
            <w:vAlign w:val="center"/>
          </w:tcPr>
          <w:p w14:paraId="4A071638">
            <w:pPr>
              <w:widowControl/>
              <w:jc w:val="left"/>
              <w:rPr>
                <w:rFonts w:ascii="宋体" w:hAnsi="宋体" w:eastAsia="宋体" w:cs="宋体"/>
                <w:color w:val="000000"/>
                <w:kern w:val="0"/>
                <w:szCs w:val="21"/>
              </w:rPr>
            </w:pPr>
          </w:p>
        </w:tc>
        <w:tc>
          <w:tcPr>
            <w:tcW w:w="590" w:type="pct"/>
            <w:tcBorders>
              <w:top w:val="single" w:color="000000" w:sz="4" w:space="0"/>
              <w:left w:val="single" w:color="000000" w:sz="4" w:space="0"/>
              <w:bottom w:val="single" w:color="000000" w:sz="4" w:space="0"/>
              <w:right w:val="single" w:color="000000" w:sz="4" w:space="0"/>
            </w:tcBorders>
            <w:vAlign w:val="center"/>
          </w:tcPr>
          <w:p w14:paraId="4000F252">
            <w:pPr>
              <w:widowControl/>
              <w:jc w:val="left"/>
              <w:rPr>
                <w:rFonts w:ascii="宋体" w:hAnsi="宋体" w:eastAsia="宋体" w:cs="宋体"/>
                <w:color w:val="000000"/>
                <w:kern w:val="0"/>
                <w:szCs w:val="21"/>
              </w:rPr>
            </w:pPr>
          </w:p>
        </w:tc>
      </w:tr>
      <w:tr w14:paraId="7B5CB14C">
        <w:tblPrEx>
          <w:tblCellMar>
            <w:top w:w="0" w:type="dxa"/>
            <w:left w:w="108" w:type="dxa"/>
            <w:bottom w:w="0" w:type="dxa"/>
            <w:right w:w="108" w:type="dxa"/>
          </w:tblCellMar>
        </w:tblPrEx>
        <w:trPr>
          <w:trHeight w:val="3000" w:hRule="atLeast"/>
        </w:trPr>
        <w:tc>
          <w:tcPr>
            <w:tcW w:w="233" w:type="pct"/>
            <w:tcBorders>
              <w:top w:val="single" w:color="000000" w:sz="4" w:space="0"/>
              <w:left w:val="single" w:color="000000" w:sz="4" w:space="0"/>
              <w:bottom w:val="single" w:color="000000" w:sz="4" w:space="0"/>
              <w:right w:val="nil"/>
            </w:tcBorders>
            <w:vAlign w:val="center"/>
          </w:tcPr>
          <w:p w14:paraId="4F7F242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27</w:t>
            </w:r>
          </w:p>
        </w:tc>
        <w:tc>
          <w:tcPr>
            <w:tcW w:w="294" w:type="pct"/>
            <w:vMerge w:val="continue"/>
            <w:tcBorders>
              <w:top w:val="single" w:color="000000" w:sz="4" w:space="0"/>
              <w:left w:val="single" w:color="000000" w:sz="4" w:space="0"/>
              <w:bottom w:val="single" w:color="000000" w:sz="4" w:space="0"/>
              <w:right w:val="single" w:color="000000" w:sz="4" w:space="0"/>
            </w:tcBorders>
            <w:vAlign w:val="center"/>
          </w:tcPr>
          <w:p w14:paraId="04B769DC">
            <w:pPr>
              <w:widowControl/>
              <w:jc w:val="left"/>
              <w:rPr>
                <w:rFonts w:ascii="宋体" w:hAnsi="宋体" w:eastAsia="宋体" w:cs="宋体"/>
                <w:b/>
                <w:bCs/>
                <w:color w:val="000000"/>
                <w:kern w:val="0"/>
                <w:szCs w:val="21"/>
              </w:rPr>
            </w:pPr>
          </w:p>
        </w:tc>
        <w:tc>
          <w:tcPr>
            <w:tcW w:w="369" w:type="pct"/>
            <w:vMerge w:val="continue"/>
            <w:tcBorders>
              <w:top w:val="single" w:color="000000" w:sz="4" w:space="0"/>
              <w:left w:val="single" w:color="000000" w:sz="4" w:space="0"/>
              <w:bottom w:val="single" w:color="000000" w:sz="4" w:space="0"/>
              <w:right w:val="single" w:color="000000" w:sz="4" w:space="0"/>
            </w:tcBorders>
            <w:vAlign w:val="center"/>
          </w:tcPr>
          <w:p w14:paraId="38FE9D06">
            <w:pPr>
              <w:widowControl/>
              <w:jc w:val="left"/>
              <w:rPr>
                <w:rFonts w:ascii="宋体" w:hAnsi="宋体" w:eastAsia="宋体" w:cs="宋体"/>
                <w:color w:val="000000"/>
                <w:kern w:val="0"/>
                <w:szCs w:val="21"/>
              </w:rPr>
            </w:pPr>
          </w:p>
        </w:tc>
        <w:tc>
          <w:tcPr>
            <w:tcW w:w="429" w:type="pct"/>
            <w:vMerge w:val="continue"/>
            <w:tcBorders>
              <w:top w:val="single" w:color="000000" w:sz="4" w:space="0"/>
              <w:left w:val="single" w:color="000000" w:sz="4" w:space="0"/>
              <w:bottom w:val="single" w:color="000000" w:sz="4" w:space="0"/>
              <w:right w:val="nil"/>
            </w:tcBorders>
            <w:vAlign w:val="center"/>
          </w:tcPr>
          <w:p w14:paraId="590F66D6">
            <w:pPr>
              <w:widowControl/>
              <w:jc w:val="left"/>
              <w:rPr>
                <w:rFonts w:ascii="宋体" w:hAnsi="宋体" w:eastAsia="宋体" w:cs="宋体"/>
                <w:color w:val="000000"/>
                <w:kern w:val="0"/>
                <w:szCs w:val="21"/>
              </w:rPr>
            </w:pPr>
          </w:p>
        </w:tc>
        <w:tc>
          <w:tcPr>
            <w:tcW w:w="2551" w:type="pct"/>
            <w:tcBorders>
              <w:top w:val="single" w:color="000000" w:sz="4" w:space="0"/>
              <w:left w:val="single" w:color="000000" w:sz="4" w:space="0"/>
              <w:bottom w:val="single" w:color="000000" w:sz="4" w:space="0"/>
              <w:right w:val="single" w:color="000000" w:sz="4" w:space="0"/>
            </w:tcBorders>
            <w:vAlign w:val="center"/>
          </w:tcPr>
          <w:p w14:paraId="1940D247">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3.8.违规结果定位：清单详情界面质控信息支持展示对应的违规字段名称，点击后可支持定位至左侧具体位置</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3.9.翻页查询：支持快速翻看上一病例、下一病例清单详情，支持违规详情快速定位到具体位置，支持清单重抽</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3.10.明细检索：支持查看单条清单的费用明细信息，并且支持按照医药机构目录名称搜索</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3.11.双首页切换：支持清单与病案首页的页面灵活切换。</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4.支持清单批量驳回功能</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5.支持按照距离清单结算时间长短划分紧急程度</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6.清单列表界面支持查看编辑前后的主诊不一致、其他诊断不一致、主要手术不一致、其他手术不一致、分组不一致等的病例明细</w:t>
            </w:r>
          </w:p>
        </w:tc>
        <w:tc>
          <w:tcPr>
            <w:tcW w:w="530" w:type="pct"/>
            <w:tcBorders>
              <w:top w:val="single" w:color="000000" w:sz="4" w:space="0"/>
              <w:left w:val="single" w:color="000000" w:sz="4" w:space="0"/>
              <w:bottom w:val="single" w:color="000000" w:sz="4" w:space="0"/>
              <w:right w:val="single" w:color="000000" w:sz="4" w:space="0"/>
            </w:tcBorders>
            <w:vAlign w:val="center"/>
          </w:tcPr>
          <w:p w14:paraId="7897D50E">
            <w:pPr>
              <w:widowControl/>
              <w:jc w:val="left"/>
              <w:rPr>
                <w:rFonts w:ascii="宋体" w:hAnsi="宋体" w:eastAsia="宋体" w:cs="宋体"/>
                <w:color w:val="000000"/>
                <w:kern w:val="0"/>
                <w:szCs w:val="21"/>
              </w:rPr>
            </w:pPr>
          </w:p>
        </w:tc>
        <w:tc>
          <w:tcPr>
            <w:tcW w:w="590" w:type="pct"/>
            <w:tcBorders>
              <w:top w:val="single" w:color="000000" w:sz="4" w:space="0"/>
              <w:left w:val="single" w:color="000000" w:sz="4" w:space="0"/>
              <w:bottom w:val="single" w:color="000000" w:sz="4" w:space="0"/>
              <w:right w:val="single" w:color="000000" w:sz="4" w:space="0"/>
            </w:tcBorders>
            <w:vAlign w:val="center"/>
          </w:tcPr>
          <w:p w14:paraId="25FFE07A">
            <w:pPr>
              <w:widowControl/>
              <w:jc w:val="left"/>
              <w:rPr>
                <w:rFonts w:ascii="宋体" w:hAnsi="宋体" w:eastAsia="宋体" w:cs="宋体"/>
                <w:color w:val="000000"/>
                <w:kern w:val="0"/>
                <w:szCs w:val="21"/>
              </w:rPr>
            </w:pPr>
          </w:p>
        </w:tc>
      </w:tr>
      <w:tr w14:paraId="4E162F57">
        <w:tblPrEx>
          <w:tblCellMar>
            <w:top w:w="0" w:type="dxa"/>
            <w:left w:w="108" w:type="dxa"/>
            <w:bottom w:w="0" w:type="dxa"/>
            <w:right w:w="108" w:type="dxa"/>
          </w:tblCellMar>
        </w:tblPrEx>
        <w:trPr>
          <w:trHeight w:val="300" w:hRule="atLeast"/>
        </w:trPr>
        <w:tc>
          <w:tcPr>
            <w:tcW w:w="233" w:type="pct"/>
            <w:tcBorders>
              <w:top w:val="single" w:color="000000" w:sz="4" w:space="0"/>
              <w:left w:val="single" w:color="000000" w:sz="4" w:space="0"/>
              <w:bottom w:val="single" w:color="000000" w:sz="4" w:space="0"/>
              <w:right w:val="nil"/>
            </w:tcBorders>
            <w:vAlign w:val="center"/>
          </w:tcPr>
          <w:p w14:paraId="0476423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28</w:t>
            </w:r>
          </w:p>
        </w:tc>
        <w:tc>
          <w:tcPr>
            <w:tcW w:w="294" w:type="pct"/>
            <w:vMerge w:val="continue"/>
            <w:tcBorders>
              <w:top w:val="single" w:color="000000" w:sz="4" w:space="0"/>
              <w:left w:val="single" w:color="000000" w:sz="4" w:space="0"/>
              <w:bottom w:val="single" w:color="000000" w:sz="4" w:space="0"/>
              <w:right w:val="single" w:color="000000" w:sz="4" w:space="0"/>
            </w:tcBorders>
            <w:vAlign w:val="center"/>
          </w:tcPr>
          <w:p w14:paraId="4F58F6C2">
            <w:pPr>
              <w:widowControl/>
              <w:jc w:val="left"/>
              <w:rPr>
                <w:rFonts w:ascii="宋体" w:hAnsi="宋体" w:eastAsia="宋体" w:cs="宋体"/>
                <w:b/>
                <w:bCs/>
                <w:color w:val="000000"/>
                <w:kern w:val="0"/>
                <w:szCs w:val="21"/>
              </w:rPr>
            </w:pPr>
          </w:p>
        </w:tc>
        <w:tc>
          <w:tcPr>
            <w:tcW w:w="369" w:type="pct"/>
            <w:vMerge w:val="continue"/>
            <w:tcBorders>
              <w:top w:val="single" w:color="000000" w:sz="4" w:space="0"/>
              <w:left w:val="single" w:color="000000" w:sz="4" w:space="0"/>
              <w:bottom w:val="single" w:color="000000" w:sz="4" w:space="0"/>
              <w:right w:val="single" w:color="000000" w:sz="4" w:space="0"/>
            </w:tcBorders>
            <w:vAlign w:val="center"/>
          </w:tcPr>
          <w:p w14:paraId="024962CF">
            <w:pPr>
              <w:widowControl/>
              <w:jc w:val="left"/>
              <w:rPr>
                <w:rFonts w:ascii="宋体" w:hAnsi="宋体" w:eastAsia="宋体" w:cs="宋体"/>
                <w:color w:val="000000"/>
                <w:kern w:val="0"/>
                <w:szCs w:val="21"/>
              </w:rPr>
            </w:pPr>
          </w:p>
        </w:tc>
        <w:tc>
          <w:tcPr>
            <w:tcW w:w="429" w:type="pct"/>
            <w:tcBorders>
              <w:top w:val="single" w:color="000000" w:sz="4" w:space="0"/>
              <w:left w:val="single" w:color="000000" w:sz="4" w:space="0"/>
              <w:bottom w:val="single" w:color="000000" w:sz="4" w:space="0"/>
              <w:right w:val="nil"/>
            </w:tcBorders>
            <w:vAlign w:val="center"/>
          </w:tcPr>
          <w:p w14:paraId="2A7B64D7">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规则配置</w:t>
            </w:r>
          </w:p>
        </w:tc>
        <w:tc>
          <w:tcPr>
            <w:tcW w:w="2551" w:type="pct"/>
            <w:tcBorders>
              <w:top w:val="single" w:color="000000" w:sz="4" w:space="0"/>
              <w:left w:val="single" w:color="000000" w:sz="4" w:space="0"/>
              <w:bottom w:val="single" w:color="000000" w:sz="4" w:space="0"/>
              <w:right w:val="single" w:color="000000" w:sz="4" w:space="0"/>
            </w:tcBorders>
            <w:vAlign w:val="center"/>
          </w:tcPr>
          <w:p w14:paraId="281B526A">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支持清单审核规则自定义</w:t>
            </w:r>
          </w:p>
        </w:tc>
        <w:tc>
          <w:tcPr>
            <w:tcW w:w="530" w:type="pct"/>
            <w:tcBorders>
              <w:top w:val="single" w:color="000000" w:sz="4" w:space="0"/>
              <w:left w:val="single" w:color="000000" w:sz="4" w:space="0"/>
              <w:bottom w:val="single" w:color="000000" w:sz="4" w:space="0"/>
              <w:right w:val="single" w:color="000000" w:sz="4" w:space="0"/>
            </w:tcBorders>
            <w:vAlign w:val="center"/>
          </w:tcPr>
          <w:p w14:paraId="20D71E22">
            <w:pPr>
              <w:widowControl/>
              <w:jc w:val="left"/>
              <w:rPr>
                <w:rFonts w:ascii="宋体" w:hAnsi="宋体" w:eastAsia="宋体" w:cs="宋体"/>
                <w:color w:val="000000"/>
                <w:kern w:val="0"/>
                <w:szCs w:val="21"/>
              </w:rPr>
            </w:pPr>
          </w:p>
        </w:tc>
        <w:tc>
          <w:tcPr>
            <w:tcW w:w="590" w:type="pct"/>
            <w:tcBorders>
              <w:top w:val="single" w:color="000000" w:sz="4" w:space="0"/>
              <w:left w:val="single" w:color="000000" w:sz="4" w:space="0"/>
              <w:bottom w:val="single" w:color="000000" w:sz="4" w:space="0"/>
              <w:right w:val="single" w:color="000000" w:sz="4" w:space="0"/>
            </w:tcBorders>
            <w:vAlign w:val="center"/>
          </w:tcPr>
          <w:p w14:paraId="79E805B2">
            <w:pPr>
              <w:widowControl/>
              <w:jc w:val="left"/>
              <w:rPr>
                <w:rFonts w:ascii="宋体" w:hAnsi="宋体" w:eastAsia="宋体" w:cs="宋体"/>
                <w:color w:val="000000"/>
                <w:kern w:val="0"/>
                <w:szCs w:val="21"/>
              </w:rPr>
            </w:pPr>
          </w:p>
        </w:tc>
      </w:tr>
      <w:tr w14:paraId="3BBD5A1D">
        <w:tblPrEx>
          <w:tblCellMar>
            <w:top w:w="0" w:type="dxa"/>
            <w:left w:w="108" w:type="dxa"/>
            <w:bottom w:w="0" w:type="dxa"/>
            <w:right w:w="108" w:type="dxa"/>
          </w:tblCellMar>
        </w:tblPrEx>
        <w:trPr>
          <w:trHeight w:val="600" w:hRule="atLeast"/>
        </w:trPr>
        <w:tc>
          <w:tcPr>
            <w:tcW w:w="233" w:type="pct"/>
            <w:tcBorders>
              <w:top w:val="single" w:color="000000" w:sz="4" w:space="0"/>
              <w:left w:val="single" w:color="000000" w:sz="4" w:space="0"/>
              <w:bottom w:val="single" w:color="000000" w:sz="4" w:space="0"/>
              <w:right w:val="nil"/>
            </w:tcBorders>
            <w:vAlign w:val="center"/>
          </w:tcPr>
          <w:p w14:paraId="69A290E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29</w:t>
            </w:r>
          </w:p>
        </w:tc>
        <w:tc>
          <w:tcPr>
            <w:tcW w:w="294" w:type="pct"/>
            <w:vMerge w:val="continue"/>
            <w:tcBorders>
              <w:top w:val="single" w:color="000000" w:sz="4" w:space="0"/>
              <w:left w:val="single" w:color="000000" w:sz="4" w:space="0"/>
              <w:bottom w:val="single" w:color="000000" w:sz="4" w:space="0"/>
              <w:right w:val="single" w:color="000000" w:sz="4" w:space="0"/>
            </w:tcBorders>
            <w:vAlign w:val="center"/>
          </w:tcPr>
          <w:p w14:paraId="26674F66">
            <w:pPr>
              <w:widowControl/>
              <w:jc w:val="left"/>
              <w:rPr>
                <w:rFonts w:ascii="宋体" w:hAnsi="宋体" w:eastAsia="宋体" w:cs="宋体"/>
                <w:b/>
                <w:bCs/>
                <w:color w:val="000000"/>
                <w:kern w:val="0"/>
                <w:szCs w:val="21"/>
              </w:rPr>
            </w:pPr>
          </w:p>
        </w:tc>
        <w:tc>
          <w:tcPr>
            <w:tcW w:w="369" w:type="pct"/>
            <w:tcBorders>
              <w:top w:val="single" w:color="000000" w:sz="4" w:space="0"/>
              <w:left w:val="single" w:color="000000" w:sz="4" w:space="0"/>
              <w:bottom w:val="single" w:color="000000" w:sz="4" w:space="0"/>
              <w:right w:val="single" w:color="000000" w:sz="4" w:space="0"/>
            </w:tcBorders>
            <w:vAlign w:val="center"/>
          </w:tcPr>
          <w:p w14:paraId="7BB73BC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工作量统计</w:t>
            </w:r>
          </w:p>
        </w:tc>
        <w:tc>
          <w:tcPr>
            <w:tcW w:w="429" w:type="pct"/>
            <w:tcBorders>
              <w:top w:val="single" w:color="000000" w:sz="4" w:space="0"/>
              <w:left w:val="single" w:color="000000" w:sz="4" w:space="0"/>
              <w:bottom w:val="single" w:color="000000" w:sz="4" w:space="0"/>
              <w:right w:val="nil"/>
            </w:tcBorders>
            <w:vAlign w:val="center"/>
          </w:tcPr>
          <w:p w14:paraId="56DEDB4B">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清单工作量统计</w:t>
            </w:r>
          </w:p>
        </w:tc>
        <w:tc>
          <w:tcPr>
            <w:tcW w:w="2551" w:type="pct"/>
            <w:tcBorders>
              <w:top w:val="single" w:color="000000" w:sz="4" w:space="0"/>
              <w:left w:val="single" w:color="000000" w:sz="4" w:space="0"/>
              <w:bottom w:val="single" w:color="000000" w:sz="4" w:space="0"/>
              <w:right w:val="single" w:color="000000" w:sz="4" w:space="0"/>
            </w:tcBorders>
            <w:vAlign w:val="center"/>
          </w:tcPr>
          <w:p w14:paraId="647B6082">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提供产品对系统内各审核账号的工作情况进行核定统计与分析，包括审核清单量、驳回反馈清单以及按清单模块划分的工作量统计指标，支持数据下载</w:t>
            </w:r>
          </w:p>
        </w:tc>
        <w:tc>
          <w:tcPr>
            <w:tcW w:w="530" w:type="pct"/>
            <w:tcBorders>
              <w:top w:val="single" w:color="000000" w:sz="4" w:space="0"/>
              <w:left w:val="single" w:color="000000" w:sz="4" w:space="0"/>
              <w:bottom w:val="single" w:color="000000" w:sz="4" w:space="0"/>
              <w:right w:val="single" w:color="000000" w:sz="4" w:space="0"/>
            </w:tcBorders>
            <w:vAlign w:val="center"/>
          </w:tcPr>
          <w:p w14:paraId="5DF3BFB9">
            <w:pPr>
              <w:widowControl/>
              <w:jc w:val="left"/>
              <w:rPr>
                <w:rFonts w:ascii="宋体" w:hAnsi="宋体" w:eastAsia="宋体" w:cs="宋体"/>
                <w:color w:val="000000"/>
                <w:kern w:val="0"/>
                <w:szCs w:val="21"/>
              </w:rPr>
            </w:pPr>
          </w:p>
        </w:tc>
        <w:tc>
          <w:tcPr>
            <w:tcW w:w="590" w:type="pct"/>
            <w:tcBorders>
              <w:top w:val="single" w:color="000000" w:sz="4" w:space="0"/>
              <w:left w:val="single" w:color="000000" w:sz="4" w:space="0"/>
              <w:bottom w:val="single" w:color="000000" w:sz="4" w:space="0"/>
              <w:right w:val="single" w:color="000000" w:sz="4" w:space="0"/>
            </w:tcBorders>
            <w:vAlign w:val="center"/>
          </w:tcPr>
          <w:p w14:paraId="188FEB63">
            <w:pPr>
              <w:widowControl/>
              <w:jc w:val="left"/>
              <w:rPr>
                <w:rFonts w:ascii="宋体" w:hAnsi="宋体" w:eastAsia="宋体" w:cs="宋体"/>
                <w:color w:val="000000"/>
                <w:kern w:val="0"/>
                <w:szCs w:val="21"/>
              </w:rPr>
            </w:pPr>
          </w:p>
        </w:tc>
      </w:tr>
      <w:tr w14:paraId="7687BFA5">
        <w:tblPrEx>
          <w:tblCellMar>
            <w:top w:w="0" w:type="dxa"/>
            <w:left w:w="108" w:type="dxa"/>
            <w:bottom w:w="0" w:type="dxa"/>
            <w:right w:w="108" w:type="dxa"/>
          </w:tblCellMar>
        </w:tblPrEx>
        <w:trPr>
          <w:trHeight w:val="1800" w:hRule="atLeast"/>
        </w:trPr>
        <w:tc>
          <w:tcPr>
            <w:tcW w:w="233" w:type="pct"/>
            <w:tcBorders>
              <w:top w:val="single" w:color="000000" w:sz="4" w:space="0"/>
              <w:left w:val="single" w:color="000000" w:sz="4" w:space="0"/>
              <w:bottom w:val="single" w:color="000000" w:sz="4" w:space="0"/>
              <w:right w:val="nil"/>
            </w:tcBorders>
            <w:vAlign w:val="center"/>
          </w:tcPr>
          <w:p w14:paraId="6D7175A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30</w:t>
            </w:r>
          </w:p>
        </w:tc>
        <w:tc>
          <w:tcPr>
            <w:tcW w:w="294" w:type="pct"/>
            <w:vMerge w:val="continue"/>
            <w:tcBorders>
              <w:top w:val="single" w:color="000000" w:sz="4" w:space="0"/>
              <w:left w:val="single" w:color="000000" w:sz="4" w:space="0"/>
              <w:bottom w:val="single" w:color="000000" w:sz="4" w:space="0"/>
              <w:right w:val="single" w:color="000000" w:sz="4" w:space="0"/>
            </w:tcBorders>
            <w:vAlign w:val="center"/>
          </w:tcPr>
          <w:p w14:paraId="374869AA">
            <w:pPr>
              <w:widowControl/>
              <w:jc w:val="left"/>
              <w:rPr>
                <w:rFonts w:ascii="宋体" w:hAnsi="宋体" w:eastAsia="宋体" w:cs="宋体"/>
                <w:b/>
                <w:bCs/>
                <w:color w:val="000000"/>
                <w:kern w:val="0"/>
                <w:szCs w:val="21"/>
              </w:rPr>
            </w:pPr>
          </w:p>
        </w:tc>
        <w:tc>
          <w:tcPr>
            <w:tcW w:w="369" w:type="pct"/>
            <w:tcBorders>
              <w:top w:val="single" w:color="000000" w:sz="4" w:space="0"/>
              <w:left w:val="single" w:color="000000" w:sz="4" w:space="0"/>
              <w:bottom w:val="single" w:color="000000" w:sz="4" w:space="0"/>
              <w:right w:val="single" w:color="000000" w:sz="4" w:space="0"/>
            </w:tcBorders>
            <w:vAlign w:val="center"/>
          </w:tcPr>
          <w:p w14:paraId="38AF4E2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效益分析</w:t>
            </w:r>
          </w:p>
        </w:tc>
        <w:tc>
          <w:tcPr>
            <w:tcW w:w="429" w:type="pct"/>
            <w:tcBorders>
              <w:top w:val="single" w:color="000000" w:sz="4" w:space="0"/>
              <w:left w:val="single" w:color="000000" w:sz="4" w:space="0"/>
              <w:bottom w:val="single" w:color="000000" w:sz="4" w:space="0"/>
              <w:right w:val="nil"/>
            </w:tcBorders>
            <w:vAlign w:val="center"/>
          </w:tcPr>
          <w:p w14:paraId="0FA70DAE">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清单效益分析</w:t>
            </w:r>
          </w:p>
        </w:tc>
        <w:tc>
          <w:tcPr>
            <w:tcW w:w="2551" w:type="pct"/>
            <w:tcBorders>
              <w:top w:val="single" w:color="000000" w:sz="4" w:space="0"/>
              <w:left w:val="single" w:color="000000" w:sz="4" w:space="0"/>
              <w:bottom w:val="single" w:color="000000" w:sz="4" w:space="0"/>
              <w:right w:val="single" w:color="000000" w:sz="4" w:space="0"/>
            </w:tcBorders>
            <w:vAlign w:val="center"/>
          </w:tcPr>
          <w:p w14:paraId="6118BA44">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产品支持以下功能：</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1.对清单审核流前后效益指标进行图表展示，包括清单总量、修正前后清单预结算费用以及效益相关指标内容，支持月度和科室两个维度的统计，并可便捷切换。</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2.支持医保DIP结算与非医保DIP结算数据筛查；</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3.支持下钻病例数到清单明细；</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4.支持数据下载。</w:t>
            </w:r>
          </w:p>
        </w:tc>
        <w:tc>
          <w:tcPr>
            <w:tcW w:w="530" w:type="pct"/>
            <w:tcBorders>
              <w:top w:val="single" w:color="000000" w:sz="4" w:space="0"/>
              <w:left w:val="single" w:color="000000" w:sz="4" w:space="0"/>
              <w:bottom w:val="single" w:color="000000" w:sz="4" w:space="0"/>
              <w:right w:val="single" w:color="000000" w:sz="4" w:space="0"/>
            </w:tcBorders>
            <w:vAlign w:val="center"/>
          </w:tcPr>
          <w:p w14:paraId="77E486DB">
            <w:pPr>
              <w:widowControl/>
              <w:jc w:val="left"/>
              <w:rPr>
                <w:rFonts w:ascii="宋体" w:hAnsi="宋体" w:eastAsia="宋体" w:cs="宋体"/>
                <w:color w:val="000000"/>
                <w:kern w:val="0"/>
                <w:szCs w:val="21"/>
              </w:rPr>
            </w:pPr>
          </w:p>
        </w:tc>
        <w:tc>
          <w:tcPr>
            <w:tcW w:w="590" w:type="pct"/>
            <w:tcBorders>
              <w:top w:val="single" w:color="000000" w:sz="4" w:space="0"/>
              <w:left w:val="single" w:color="000000" w:sz="4" w:space="0"/>
              <w:bottom w:val="single" w:color="000000" w:sz="4" w:space="0"/>
              <w:right w:val="single" w:color="000000" w:sz="4" w:space="0"/>
            </w:tcBorders>
            <w:vAlign w:val="center"/>
          </w:tcPr>
          <w:p w14:paraId="11C8214F">
            <w:pPr>
              <w:widowControl/>
              <w:jc w:val="left"/>
              <w:rPr>
                <w:rFonts w:ascii="宋体" w:hAnsi="宋体" w:eastAsia="宋体" w:cs="宋体"/>
                <w:color w:val="000000"/>
                <w:kern w:val="0"/>
                <w:szCs w:val="21"/>
              </w:rPr>
            </w:pPr>
          </w:p>
        </w:tc>
      </w:tr>
      <w:tr w14:paraId="32DD143C">
        <w:tblPrEx>
          <w:tblCellMar>
            <w:top w:w="0" w:type="dxa"/>
            <w:left w:w="108" w:type="dxa"/>
            <w:bottom w:w="0" w:type="dxa"/>
            <w:right w:w="108" w:type="dxa"/>
          </w:tblCellMar>
        </w:tblPrEx>
        <w:trPr>
          <w:trHeight w:val="2700" w:hRule="atLeast"/>
        </w:trPr>
        <w:tc>
          <w:tcPr>
            <w:tcW w:w="233" w:type="pct"/>
            <w:tcBorders>
              <w:top w:val="single" w:color="000000" w:sz="4" w:space="0"/>
              <w:left w:val="single" w:color="000000" w:sz="4" w:space="0"/>
              <w:bottom w:val="single" w:color="000000" w:sz="4" w:space="0"/>
              <w:right w:val="nil"/>
            </w:tcBorders>
            <w:vAlign w:val="center"/>
          </w:tcPr>
          <w:p w14:paraId="05C1B48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31</w:t>
            </w:r>
          </w:p>
        </w:tc>
        <w:tc>
          <w:tcPr>
            <w:tcW w:w="294" w:type="pct"/>
            <w:vMerge w:val="continue"/>
            <w:tcBorders>
              <w:top w:val="single" w:color="000000" w:sz="4" w:space="0"/>
              <w:left w:val="single" w:color="000000" w:sz="4" w:space="0"/>
              <w:bottom w:val="single" w:color="000000" w:sz="4" w:space="0"/>
              <w:right w:val="single" w:color="000000" w:sz="4" w:space="0"/>
            </w:tcBorders>
            <w:vAlign w:val="center"/>
          </w:tcPr>
          <w:p w14:paraId="62914FD8">
            <w:pPr>
              <w:widowControl/>
              <w:jc w:val="left"/>
              <w:rPr>
                <w:rFonts w:ascii="宋体" w:hAnsi="宋体" w:eastAsia="宋体" w:cs="宋体"/>
                <w:b/>
                <w:bCs/>
                <w:color w:val="000000"/>
                <w:kern w:val="0"/>
                <w:szCs w:val="21"/>
              </w:rPr>
            </w:pPr>
          </w:p>
        </w:tc>
        <w:tc>
          <w:tcPr>
            <w:tcW w:w="369" w:type="pct"/>
            <w:vMerge w:val="restart"/>
            <w:tcBorders>
              <w:top w:val="single" w:color="000000" w:sz="4" w:space="0"/>
              <w:left w:val="single" w:color="000000" w:sz="4" w:space="0"/>
              <w:bottom w:val="single" w:color="000000" w:sz="4" w:space="0"/>
              <w:right w:val="single" w:color="000000" w:sz="4" w:space="0"/>
            </w:tcBorders>
            <w:vAlign w:val="center"/>
          </w:tcPr>
          <w:p w14:paraId="69ED2F5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违规分析</w:t>
            </w:r>
          </w:p>
        </w:tc>
        <w:tc>
          <w:tcPr>
            <w:tcW w:w="429" w:type="pct"/>
            <w:tcBorders>
              <w:top w:val="single" w:color="000000" w:sz="4" w:space="0"/>
              <w:left w:val="single" w:color="000000" w:sz="4" w:space="0"/>
              <w:bottom w:val="single" w:color="000000" w:sz="4" w:space="0"/>
              <w:right w:val="nil"/>
            </w:tcBorders>
            <w:vAlign w:val="center"/>
          </w:tcPr>
          <w:p w14:paraId="5CF6347E">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医院总体</w:t>
            </w:r>
          </w:p>
        </w:tc>
        <w:tc>
          <w:tcPr>
            <w:tcW w:w="2551" w:type="pct"/>
            <w:tcBorders>
              <w:top w:val="single" w:color="000000" w:sz="4" w:space="0"/>
              <w:left w:val="single" w:color="000000" w:sz="4" w:space="0"/>
              <w:bottom w:val="single" w:color="000000" w:sz="4" w:space="0"/>
              <w:right w:val="single" w:color="000000" w:sz="4" w:space="0"/>
            </w:tcBorders>
            <w:vAlign w:val="center"/>
          </w:tcPr>
          <w:p w14:paraId="200AF693">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提供产品支持以下功能：</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1.对全院清单质控的重点核心指标进行统计展示，包括清单总量、违规情况、平均违规及同比变化内容；</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2.对全院结算清单在不同科室的违规内容按违规类别进行可视化图表展现，包括违规清单数量、严重违规清单数、一般违规清单数、提示违规清单数等指标，支持数据下载；</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3.对全院结算清单不同违规规则进行图表展现，包括规则名称、规则级别、扣分、违规清单数等指标，支持数据下载；</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4.对全院结算清单的违规内容按清单模块与字段进行可视化图表展示，便于医院了解院内清单经常违规的字段情况，支持数据下载。</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5.支持医保DIP结算与非医保DIP结算数据筛查。</w:t>
            </w:r>
          </w:p>
        </w:tc>
        <w:tc>
          <w:tcPr>
            <w:tcW w:w="530" w:type="pct"/>
            <w:tcBorders>
              <w:top w:val="single" w:color="000000" w:sz="4" w:space="0"/>
              <w:left w:val="single" w:color="000000" w:sz="4" w:space="0"/>
              <w:bottom w:val="single" w:color="000000" w:sz="4" w:space="0"/>
              <w:right w:val="single" w:color="000000" w:sz="4" w:space="0"/>
            </w:tcBorders>
            <w:vAlign w:val="center"/>
          </w:tcPr>
          <w:p w14:paraId="368DA608">
            <w:pPr>
              <w:widowControl/>
              <w:jc w:val="left"/>
              <w:rPr>
                <w:rFonts w:ascii="宋体" w:hAnsi="宋体" w:eastAsia="宋体" w:cs="宋体"/>
                <w:color w:val="000000"/>
                <w:kern w:val="0"/>
                <w:szCs w:val="21"/>
              </w:rPr>
            </w:pPr>
          </w:p>
        </w:tc>
        <w:tc>
          <w:tcPr>
            <w:tcW w:w="590" w:type="pct"/>
            <w:tcBorders>
              <w:top w:val="single" w:color="000000" w:sz="4" w:space="0"/>
              <w:left w:val="single" w:color="000000" w:sz="4" w:space="0"/>
              <w:bottom w:val="single" w:color="000000" w:sz="4" w:space="0"/>
              <w:right w:val="single" w:color="000000" w:sz="4" w:space="0"/>
            </w:tcBorders>
            <w:vAlign w:val="center"/>
          </w:tcPr>
          <w:p w14:paraId="4332BA6C">
            <w:pPr>
              <w:widowControl/>
              <w:jc w:val="left"/>
              <w:rPr>
                <w:rFonts w:ascii="宋体" w:hAnsi="宋体" w:eastAsia="宋体" w:cs="宋体"/>
                <w:color w:val="000000"/>
                <w:kern w:val="0"/>
                <w:szCs w:val="21"/>
              </w:rPr>
            </w:pPr>
          </w:p>
        </w:tc>
      </w:tr>
      <w:tr w14:paraId="04A5594C">
        <w:tblPrEx>
          <w:tblCellMar>
            <w:top w:w="0" w:type="dxa"/>
            <w:left w:w="108" w:type="dxa"/>
            <w:bottom w:w="0" w:type="dxa"/>
            <w:right w:w="108" w:type="dxa"/>
          </w:tblCellMar>
        </w:tblPrEx>
        <w:trPr>
          <w:trHeight w:val="3000" w:hRule="atLeast"/>
        </w:trPr>
        <w:tc>
          <w:tcPr>
            <w:tcW w:w="233" w:type="pct"/>
            <w:tcBorders>
              <w:top w:val="single" w:color="000000" w:sz="4" w:space="0"/>
              <w:left w:val="single" w:color="000000" w:sz="4" w:space="0"/>
              <w:bottom w:val="single" w:color="000000" w:sz="4" w:space="0"/>
              <w:right w:val="nil"/>
            </w:tcBorders>
            <w:vAlign w:val="center"/>
          </w:tcPr>
          <w:p w14:paraId="76C7CCE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32</w:t>
            </w:r>
          </w:p>
        </w:tc>
        <w:tc>
          <w:tcPr>
            <w:tcW w:w="294" w:type="pct"/>
            <w:vMerge w:val="continue"/>
            <w:tcBorders>
              <w:top w:val="single" w:color="000000" w:sz="4" w:space="0"/>
              <w:left w:val="single" w:color="000000" w:sz="4" w:space="0"/>
              <w:bottom w:val="single" w:color="000000" w:sz="4" w:space="0"/>
              <w:right w:val="single" w:color="000000" w:sz="4" w:space="0"/>
            </w:tcBorders>
            <w:vAlign w:val="center"/>
          </w:tcPr>
          <w:p w14:paraId="1EA1E24C">
            <w:pPr>
              <w:widowControl/>
              <w:jc w:val="left"/>
              <w:rPr>
                <w:rFonts w:ascii="宋体" w:hAnsi="宋体" w:eastAsia="宋体" w:cs="宋体"/>
                <w:b/>
                <w:bCs/>
                <w:color w:val="000000"/>
                <w:kern w:val="0"/>
                <w:szCs w:val="21"/>
              </w:rPr>
            </w:pPr>
          </w:p>
        </w:tc>
        <w:tc>
          <w:tcPr>
            <w:tcW w:w="369" w:type="pct"/>
            <w:vMerge w:val="continue"/>
            <w:tcBorders>
              <w:top w:val="single" w:color="000000" w:sz="4" w:space="0"/>
              <w:left w:val="single" w:color="000000" w:sz="4" w:space="0"/>
              <w:bottom w:val="single" w:color="000000" w:sz="4" w:space="0"/>
              <w:right w:val="single" w:color="000000" w:sz="4" w:space="0"/>
            </w:tcBorders>
            <w:vAlign w:val="center"/>
          </w:tcPr>
          <w:p w14:paraId="44E2337F">
            <w:pPr>
              <w:widowControl/>
              <w:jc w:val="left"/>
              <w:rPr>
                <w:rFonts w:ascii="宋体" w:hAnsi="宋体" w:eastAsia="宋体" w:cs="宋体"/>
                <w:color w:val="000000"/>
                <w:kern w:val="0"/>
                <w:szCs w:val="21"/>
              </w:rPr>
            </w:pPr>
          </w:p>
        </w:tc>
        <w:tc>
          <w:tcPr>
            <w:tcW w:w="429" w:type="pct"/>
            <w:tcBorders>
              <w:top w:val="single" w:color="000000" w:sz="4" w:space="0"/>
              <w:left w:val="single" w:color="000000" w:sz="4" w:space="0"/>
              <w:bottom w:val="single" w:color="000000" w:sz="4" w:space="0"/>
              <w:right w:val="nil"/>
            </w:tcBorders>
            <w:vAlign w:val="center"/>
          </w:tcPr>
          <w:p w14:paraId="0D6B8E56">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医院科室</w:t>
            </w:r>
          </w:p>
        </w:tc>
        <w:tc>
          <w:tcPr>
            <w:tcW w:w="2551" w:type="pct"/>
            <w:tcBorders>
              <w:top w:val="single" w:color="000000" w:sz="4" w:space="0"/>
              <w:left w:val="single" w:color="000000" w:sz="4" w:space="0"/>
              <w:bottom w:val="single" w:color="000000" w:sz="4" w:space="0"/>
              <w:right w:val="single" w:color="000000" w:sz="4" w:space="0"/>
            </w:tcBorders>
            <w:vAlign w:val="center"/>
          </w:tcPr>
          <w:p w14:paraId="2E8C2F1B">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提供产品支持以下功能：</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1.对各科室清单质控的重点核心指标进行统计展示，包括清单总量、违规情况、平均违规及同比变化内容；</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2.对各科室结算清单的违规内容按医师和严重等级进行可视化图表展现，包括违规清单数量、严重违规清单数、一般违规清单数、提示违规清单数等指标，支持数据下载；</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3.对科室结算清单不同违规规则进行图表展现，包括规则名称、规则级别、扣分、违规清单数等指标，支持数据下载；</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4.对各科室结算清单的违规内容按清单模块与字段进行可视化图表展示，便于科室了解科室内清单经常违规的字段情况，支持数据下载。</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5.支持医保DIP结算与非医保DIP结算数据筛查；支持按结算时间、出院时间筛选。</w:t>
            </w:r>
          </w:p>
        </w:tc>
        <w:tc>
          <w:tcPr>
            <w:tcW w:w="530" w:type="pct"/>
            <w:tcBorders>
              <w:top w:val="single" w:color="000000" w:sz="4" w:space="0"/>
              <w:left w:val="single" w:color="000000" w:sz="4" w:space="0"/>
              <w:bottom w:val="single" w:color="000000" w:sz="4" w:space="0"/>
              <w:right w:val="single" w:color="000000" w:sz="4" w:space="0"/>
            </w:tcBorders>
            <w:vAlign w:val="center"/>
          </w:tcPr>
          <w:p w14:paraId="640D5FE8">
            <w:pPr>
              <w:widowControl/>
              <w:jc w:val="left"/>
              <w:rPr>
                <w:rFonts w:ascii="宋体" w:hAnsi="宋体" w:eastAsia="宋体" w:cs="宋体"/>
                <w:color w:val="000000"/>
                <w:kern w:val="0"/>
                <w:szCs w:val="21"/>
              </w:rPr>
            </w:pPr>
          </w:p>
        </w:tc>
        <w:tc>
          <w:tcPr>
            <w:tcW w:w="590" w:type="pct"/>
            <w:tcBorders>
              <w:top w:val="single" w:color="000000" w:sz="4" w:space="0"/>
              <w:left w:val="single" w:color="000000" w:sz="4" w:space="0"/>
              <w:bottom w:val="single" w:color="000000" w:sz="4" w:space="0"/>
              <w:right w:val="single" w:color="000000" w:sz="4" w:space="0"/>
            </w:tcBorders>
            <w:vAlign w:val="center"/>
          </w:tcPr>
          <w:p w14:paraId="555DDA96">
            <w:pPr>
              <w:widowControl/>
              <w:jc w:val="left"/>
              <w:rPr>
                <w:rFonts w:ascii="宋体" w:hAnsi="宋体" w:eastAsia="宋体" w:cs="宋体"/>
                <w:color w:val="000000"/>
                <w:kern w:val="0"/>
                <w:szCs w:val="21"/>
              </w:rPr>
            </w:pPr>
          </w:p>
        </w:tc>
      </w:tr>
      <w:tr w14:paraId="6E5F0D43">
        <w:tblPrEx>
          <w:tblCellMar>
            <w:top w:w="0" w:type="dxa"/>
            <w:left w:w="108" w:type="dxa"/>
            <w:bottom w:w="0" w:type="dxa"/>
            <w:right w:w="108" w:type="dxa"/>
          </w:tblCellMar>
        </w:tblPrEx>
        <w:trPr>
          <w:trHeight w:val="600" w:hRule="atLeast"/>
        </w:trPr>
        <w:tc>
          <w:tcPr>
            <w:tcW w:w="233" w:type="pct"/>
            <w:tcBorders>
              <w:top w:val="single" w:color="000000" w:sz="4" w:space="0"/>
              <w:left w:val="single" w:color="000000" w:sz="4" w:space="0"/>
              <w:bottom w:val="single" w:color="000000" w:sz="4" w:space="0"/>
              <w:right w:val="nil"/>
            </w:tcBorders>
            <w:vAlign w:val="center"/>
          </w:tcPr>
          <w:p w14:paraId="1BA215F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33</w:t>
            </w:r>
          </w:p>
        </w:tc>
        <w:tc>
          <w:tcPr>
            <w:tcW w:w="294" w:type="pct"/>
            <w:vMerge w:val="continue"/>
            <w:tcBorders>
              <w:top w:val="single" w:color="000000" w:sz="4" w:space="0"/>
              <w:left w:val="single" w:color="000000" w:sz="4" w:space="0"/>
              <w:bottom w:val="single" w:color="000000" w:sz="4" w:space="0"/>
              <w:right w:val="single" w:color="000000" w:sz="4" w:space="0"/>
            </w:tcBorders>
            <w:vAlign w:val="center"/>
          </w:tcPr>
          <w:p w14:paraId="176094CC">
            <w:pPr>
              <w:widowControl/>
              <w:jc w:val="left"/>
              <w:rPr>
                <w:rFonts w:ascii="宋体" w:hAnsi="宋体" w:eastAsia="宋体" w:cs="宋体"/>
                <w:b/>
                <w:bCs/>
                <w:color w:val="000000"/>
                <w:kern w:val="0"/>
                <w:szCs w:val="21"/>
              </w:rPr>
            </w:pPr>
          </w:p>
        </w:tc>
        <w:tc>
          <w:tcPr>
            <w:tcW w:w="369" w:type="pct"/>
            <w:vMerge w:val="continue"/>
            <w:tcBorders>
              <w:top w:val="single" w:color="000000" w:sz="4" w:space="0"/>
              <w:left w:val="single" w:color="000000" w:sz="4" w:space="0"/>
              <w:bottom w:val="single" w:color="000000" w:sz="4" w:space="0"/>
              <w:right w:val="single" w:color="000000" w:sz="4" w:space="0"/>
            </w:tcBorders>
            <w:vAlign w:val="center"/>
          </w:tcPr>
          <w:p w14:paraId="31B45898">
            <w:pPr>
              <w:widowControl/>
              <w:jc w:val="left"/>
              <w:rPr>
                <w:rFonts w:ascii="宋体" w:hAnsi="宋体" w:eastAsia="宋体" w:cs="宋体"/>
                <w:color w:val="000000"/>
                <w:kern w:val="0"/>
                <w:szCs w:val="21"/>
              </w:rPr>
            </w:pPr>
          </w:p>
        </w:tc>
        <w:tc>
          <w:tcPr>
            <w:tcW w:w="429" w:type="pct"/>
            <w:tcBorders>
              <w:top w:val="single" w:color="000000" w:sz="4" w:space="0"/>
              <w:left w:val="single" w:color="000000" w:sz="4" w:space="0"/>
              <w:bottom w:val="single" w:color="000000" w:sz="4" w:space="0"/>
              <w:right w:val="nil"/>
            </w:tcBorders>
            <w:vAlign w:val="center"/>
          </w:tcPr>
          <w:p w14:paraId="30AEB831">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DIP分组</w:t>
            </w:r>
          </w:p>
        </w:tc>
        <w:tc>
          <w:tcPr>
            <w:tcW w:w="2551" w:type="pct"/>
            <w:tcBorders>
              <w:top w:val="single" w:color="000000" w:sz="4" w:space="0"/>
              <w:left w:val="single" w:color="000000" w:sz="4" w:space="0"/>
              <w:bottom w:val="single" w:color="000000" w:sz="4" w:space="0"/>
              <w:right w:val="single" w:color="000000" w:sz="4" w:space="0"/>
            </w:tcBorders>
            <w:vAlign w:val="center"/>
          </w:tcPr>
          <w:p w14:paraId="51FB4D03">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对不同DIP组下的违规情况进行统计展示，辅助医院探索各类分组下的违规概况，并支持数据跳转；</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支持医保DIP结算与非医保DIP结算数据筛查；支持按结算时间、出院时间筛选；</w:t>
            </w:r>
          </w:p>
        </w:tc>
        <w:tc>
          <w:tcPr>
            <w:tcW w:w="530" w:type="pct"/>
            <w:tcBorders>
              <w:top w:val="single" w:color="000000" w:sz="4" w:space="0"/>
              <w:left w:val="single" w:color="000000" w:sz="4" w:space="0"/>
              <w:bottom w:val="single" w:color="000000" w:sz="4" w:space="0"/>
              <w:right w:val="single" w:color="000000" w:sz="4" w:space="0"/>
            </w:tcBorders>
            <w:vAlign w:val="center"/>
          </w:tcPr>
          <w:p w14:paraId="536E0F08">
            <w:pPr>
              <w:widowControl/>
              <w:jc w:val="left"/>
              <w:rPr>
                <w:rFonts w:ascii="宋体" w:hAnsi="宋体" w:eastAsia="宋体" w:cs="宋体"/>
                <w:color w:val="000000"/>
                <w:kern w:val="0"/>
                <w:szCs w:val="21"/>
              </w:rPr>
            </w:pPr>
          </w:p>
        </w:tc>
        <w:tc>
          <w:tcPr>
            <w:tcW w:w="590" w:type="pct"/>
            <w:tcBorders>
              <w:top w:val="single" w:color="000000" w:sz="4" w:space="0"/>
              <w:left w:val="single" w:color="000000" w:sz="4" w:space="0"/>
              <w:bottom w:val="single" w:color="000000" w:sz="4" w:space="0"/>
              <w:right w:val="single" w:color="000000" w:sz="4" w:space="0"/>
            </w:tcBorders>
            <w:vAlign w:val="center"/>
          </w:tcPr>
          <w:p w14:paraId="75198046">
            <w:pPr>
              <w:widowControl/>
              <w:jc w:val="left"/>
              <w:rPr>
                <w:rFonts w:ascii="宋体" w:hAnsi="宋体" w:eastAsia="宋体" w:cs="宋体"/>
                <w:color w:val="000000"/>
                <w:kern w:val="0"/>
                <w:szCs w:val="21"/>
              </w:rPr>
            </w:pPr>
          </w:p>
        </w:tc>
      </w:tr>
      <w:tr w14:paraId="0D93D820">
        <w:tblPrEx>
          <w:tblCellMar>
            <w:top w:w="0" w:type="dxa"/>
            <w:left w:w="108" w:type="dxa"/>
            <w:bottom w:w="0" w:type="dxa"/>
            <w:right w:w="108" w:type="dxa"/>
          </w:tblCellMar>
        </w:tblPrEx>
        <w:trPr>
          <w:trHeight w:val="3260" w:hRule="atLeast"/>
        </w:trPr>
        <w:tc>
          <w:tcPr>
            <w:tcW w:w="233" w:type="pct"/>
            <w:tcBorders>
              <w:top w:val="single" w:color="000000" w:sz="4" w:space="0"/>
              <w:left w:val="single" w:color="000000" w:sz="4" w:space="0"/>
              <w:bottom w:val="single" w:color="000000" w:sz="4" w:space="0"/>
              <w:right w:val="nil"/>
            </w:tcBorders>
            <w:vAlign w:val="center"/>
          </w:tcPr>
          <w:p w14:paraId="2D10432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34</w:t>
            </w:r>
          </w:p>
        </w:tc>
        <w:tc>
          <w:tcPr>
            <w:tcW w:w="294" w:type="pct"/>
            <w:vMerge w:val="continue"/>
            <w:tcBorders>
              <w:top w:val="single" w:color="000000" w:sz="4" w:space="0"/>
              <w:left w:val="single" w:color="000000" w:sz="4" w:space="0"/>
              <w:bottom w:val="single" w:color="000000" w:sz="4" w:space="0"/>
              <w:right w:val="single" w:color="000000" w:sz="4" w:space="0"/>
            </w:tcBorders>
            <w:vAlign w:val="center"/>
          </w:tcPr>
          <w:p w14:paraId="372650BA">
            <w:pPr>
              <w:widowControl/>
              <w:jc w:val="left"/>
              <w:rPr>
                <w:rFonts w:ascii="宋体" w:hAnsi="宋体" w:eastAsia="宋体" w:cs="宋体"/>
                <w:b/>
                <w:bCs/>
                <w:color w:val="000000"/>
                <w:kern w:val="0"/>
                <w:szCs w:val="21"/>
              </w:rPr>
            </w:pPr>
          </w:p>
        </w:tc>
        <w:tc>
          <w:tcPr>
            <w:tcW w:w="369" w:type="pct"/>
            <w:tcBorders>
              <w:top w:val="single" w:color="000000" w:sz="4" w:space="0"/>
              <w:left w:val="single" w:color="000000" w:sz="4" w:space="0"/>
              <w:bottom w:val="single" w:color="000000" w:sz="4" w:space="0"/>
              <w:right w:val="single" w:color="000000" w:sz="4" w:space="0"/>
            </w:tcBorders>
            <w:vAlign w:val="center"/>
          </w:tcPr>
          <w:p w14:paraId="28468BD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指标分析</w:t>
            </w:r>
          </w:p>
        </w:tc>
        <w:tc>
          <w:tcPr>
            <w:tcW w:w="429" w:type="pct"/>
            <w:tcBorders>
              <w:top w:val="single" w:color="000000" w:sz="4" w:space="0"/>
              <w:left w:val="single" w:color="000000" w:sz="4" w:space="0"/>
              <w:bottom w:val="single" w:color="000000" w:sz="4" w:space="0"/>
              <w:right w:val="nil"/>
            </w:tcBorders>
            <w:vAlign w:val="center"/>
          </w:tcPr>
          <w:p w14:paraId="3CF2BD85">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清单指标分析</w:t>
            </w:r>
          </w:p>
        </w:tc>
        <w:tc>
          <w:tcPr>
            <w:tcW w:w="2551" w:type="pct"/>
            <w:tcBorders>
              <w:top w:val="single" w:color="000000" w:sz="4" w:space="0"/>
              <w:left w:val="single" w:color="000000" w:sz="4" w:space="0"/>
              <w:bottom w:val="single" w:color="000000" w:sz="4" w:space="0"/>
              <w:right w:val="single" w:color="000000" w:sz="4" w:space="0"/>
            </w:tcBorders>
            <w:vAlign w:val="center"/>
          </w:tcPr>
          <w:p w14:paraId="3E8798C0">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提供产品支持以下功能：</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1.对医院层面的清单总量、次均费用、平均住院天数、手术病例占比、病种数、入组率进行统计展示；</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2.对医院总体盈亏情况进行时间维度可视化展示分析，对筛选时间范围内科室盈亏情况进行可视化展示分析；</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3.对医院全量清单的入组结算指标进行统计展示，包括病种类型占比、病例类型占比；</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4.按结算清单费用类别进行统计图表展示，支持数据下载；</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5.按照医院现行运营分析要求标准自定义病例费用明细归类，并进行统计图表展示，支持数据下载；</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6.按时间维度、科室横向维度对院内清单重点指标进行展示，生成列表可下载</w:t>
            </w:r>
          </w:p>
        </w:tc>
        <w:tc>
          <w:tcPr>
            <w:tcW w:w="530" w:type="pct"/>
            <w:tcBorders>
              <w:top w:val="single" w:color="000000" w:sz="4" w:space="0"/>
              <w:left w:val="single" w:color="000000" w:sz="4" w:space="0"/>
              <w:bottom w:val="single" w:color="000000" w:sz="4" w:space="0"/>
              <w:right w:val="single" w:color="000000" w:sz="4" w:space="0"/>
            </w:tcBorders>
            <w:vAlign w:val="center"/>
          </w:tcPr>
          <w:p w14:paraId="0BABA0E8">
            <w:pPr>
              <w:widowControl/>
              <w:jc w:val="left"/>
              <w:rPr>
                <w:rFonts w:ascii="宋体" w:hAnsi="宋体" w:eastAsia="宋体" w:cs="宋体"/>
                <w:color w:val="000000"/>
                <w:kern w:val="0"/>
                <w:szCs w:val="21"/>
              </w:rPr>
            </w:pPr>
          </w:p>
        </w:tc>
        <w:tc>
          <w:tcPr>
            <w:tcW w:w="590" w:type="pct"/>
            <w:tcBorders>
              <w:top w:val="single" w:color="000000" w:sz="4" w:space="0"/>
              <w:left w:val="single" w:color="000000" w:sz="4" w:space="0"/>
              <w:bottom w:val="single" w:color="000000" w:sz="4" w:space="0"/>
              <w:right w:val="single" w:color="000000" w:sz="4" w:space="0"/>
            </w:tcBorders>
            <w:vAlign w:val="center"/>
          </w:tcPr>
          <w:p w14:paraId="2F0F4802">
            <w:pPr>
              <w:widowControl/>
              <w:jc w:val="left"/>
              <w:rPr>
                <w:rFonts w:ascii="宋体" w:hAnsi="宋体" w:eastAsia="宋体" w:cs="宋体"/>
                <w:color w:val="000000"/>
                <w:kern w:val="0"/>
                <w:szCs w:val="21"/>
              </w:rPr>
            </w:pPr>
          </w:p>
        </w:tc>
      </w:tr>
      <w:tr w14:paraId="137F0890">
        <w:tblPrEx>
          <w:tblCellMar>
            <w:top w:w="0" w:type="dxa"/>
            <w:left w:w="108" w:type="dxa"/>
            <w:bottom w:w="0" w:type="dxa"/>
            <w:right w:w="108" w:type="dxa"/>
          </w:tblCellMar>
        </w:tblPrEx>
        <w:trPr>
          <w:trHeight w:val="6300" w:hRule="atLeast"/>
        </w:trPr>
        <w:tc>
          <w:tcPr>
            <w:tcW w:w="233" w:type="pct"/>
            <w:tcBorders>
              <w:top w:val="single" w:color="000000" w:sz="4" w:space="0"/>
              <w:left w:val="single" w:color="000000" w:sz="4" w:space="0"/>
              <w:bottom w:val="single" w:color="000000" w:sz="4" w:space="0"/>
              <w:right w:val="nil"/>
            </w:tcBorders>
            <w:vAlign w:val="center"/>
          </w:tcPr>
          <w:p w14:paraId="6C52404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w:t>
            </w:r>
          </w:p>
        </w:tc>
        <w:tc>
          <w:tcPr>
            <w:tcW w:w="294" w:type="pct"/>
            <w:vMerge w:val="continue"/>
            <w:tcBorders>
              <w:top w:val="single" w:color="000000" w:sz="4" w:space="0"/>
              <w:left w:val="single" w:color="000000" w:sz="4" w:space="0"/>
              <w:bottom w:val="single" w:color="000000" w:sz="4" w:space="0"/>
              <w:right w:val="single" w:color="000000" w:sz="4" w:space="0"/>
            </w:tcBorders>
            <w:vAlign w:val="center"/>
          </w:tcPr>
          <w:p w14:paraId="1647DE72">
            <w:pPr>
              <w:widowControl/>
              <w:jc w:val="left"/>
              <w:rPr>
                <w:rFonts w:ascii="宋体" w:hAnsi="宋体" w:eastAsia="宋体" w:cs="宋体"/>
                <w:b/>
                <w:bCs/>
                <w:color w:val="000000"/>
                <w:kern w:val="0"/>
                <w:szCs w:val="21"/>
              </w:rPr>
            </w:pPr>
          </w:p>
        </w:tc>
        <w:tc>
          <w:tcPr>
            <w:tcW w:w="369" w:type="pct"/>
            <w:vMerge w:val="restart"/>
            <w:tcBorders>
              <w:top w:val="single" w:color="000000" w:sz="4" w:space="0"/>
              <w:left w:val="single" w:color="000000" w:sz="4" w:space="0"/>
              <w:bottom w:val="nil"/>
              <w:right w:val="single" w:color="000000" w:sz="4" w:space="0"/>
            </w:tcBorders>
            <w:vAlign w:val="center"/>
          </w:tcPr>
          <w:p w14:paraId="6C4E09D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数据查询</w:t>
            </w:r>
          </w:p>
        </w:tc>
        <w:tc>
          <w:tcPr>
            <w:tcW w:w="429" w:type="pct"/>
            <w:vMerge w:val="restart"/>
            <w:tcBorders>
              <w:top w:val="single" w:color="000000" w:sz="4" w:space="0"/>
              <w:left w:val="single" w:color="000000" w:sz="4" w:space="0"/>
              <w:bottom w:val="single" w:color="000000" w:sz="4" w:space="0"/>
              <w:right w:val="nil"/>
            </w:tcBorders>
            <w:vAlign w:val="center"/>
          </w:tcPr>
          <w:p w14:paraId="5C6930C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清单数据查询</w:t>
            </w:r>
          </w:p>
        </w:tc>
        <w:tc>
          <w:tcPr>
            <w:tcW w:w="2551" w:type="pct"/>
            <w:tcBorders>
              <w:top w:val="single" w:color="000000" w:sz="4" w:space="0"/>
              <w:left w:val="single" w:color="000000" w:sz="4" w:space="0"/>
              <w:bottom w:val="single" w:color="000000" w:sz="4" w:space="0"/>
              <w:right w:val="single" w:color="000000" w:sz="4" w:space="0"/>
            </w:tcBorders>
            <w:vAlign w:val="center"/>
          </w:tcPr>
          <w:p w14:paraId="2BBE6469">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提供产品支持以下功能：</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1.查询某个时间范围或各种筛选条件下的清单数据查询，支持单条清单详情查询，展示清单详情以及分组、分组更多组合、质控、评分结果、明细结构及明细项目详情；</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2.支持其他菜单下钻至此的筛选查询；</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3.清单详情：</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支持各审核角色便捷查看结算清单全貌，并按权限进行编辑；</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支持下载、打印结算清单，并与国家发布的《医疗保障基金结算清单》制式一致；</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支持医保DIP结算与非DIP结算数据审核；</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3.1.清单详情：展示患者的清单详情信息，可使用书签定位清单具体模块;</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3.2.DIP模拟分组与结算：调用分组与结算引擎，对患者诊疗与费用信息进行DIP模拟分组与结算，展现分组、结算、盈亏、费用结构等重点指标信息;</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3.3.指标配置：分组结算相关字段信息支持配置是否展示以及展示名称，DIP可配置字段包括诊断信息、手术信息、目录类别、病种分值、支付标准、预测盈亏、病例类型、费用明细、更多组合、医疗总费用、药占比、耗占比、检查检验占比、住院日等；</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3.4.清单质控：调用质控引擎，对预出院/预结算患者诊疗与费用信息进行清单质控，提示质控结果信息，根据质控规则严重程度，对质控结果分为严重违规、一般违规、提示违规;</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3.5.清单评分：调用质控与评分引擎，对预出院/预结算患者进行质控评分，展现质控结果与扣分结果，并计算患者的清单得分；</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3.7.费用游标：根据患者住院的诊疗信息预测分组结果，结合当地政策信息，生成医院病组参考值和费用预警信息；通过可视化图示，直观有效的展示病例类型及费用预警结果；对低倍率、标准值、高倍率的界值进行展示，提供给医生进行费用参考；</w:t>
            </w:r>
          </w:p>
        </w:tc>
        <w:tc>
          <w:tcPr>
            <w:tcW w:w="530" w:type="pct"/>
            <w:tcBorders>
              <w:top w:val="single" w:color="000000" w:sz="4" w:space="0"/>
              <w:left w:val="single" w:color="000000" w:sz="4" w:space="0"/>
              <w:bottom w:val="single" w:color="000000" w:sz="4" w:space="0"/>
              <w:right w:val="single" w:color="000000" w:sz="4" w:space="0"/>
            </w:tcBorders>
            <w:vAlign w:val="center"/>
          </w:tcPr>
          <w:p w14:paraId="12E0D218">
            <w:pPr>
              <w:widowControl/>
              <w:jc w:val="left"/>
              <w:rPr>
                <w:rFonts w:ascii="宋体" w:hAnsi="宋体" w:eastAsia="宋体" w:cs="宋体"/>
                <w:color w:val="000000"/>
                <w:kern w:val="0"/>
                <w:szCs w:val="21"/>
              </w:rPr>
            </w:pPr>
          </w:p>
        </w:tc>
        <w:tc>
          <w:tcPr>
            <w:tcW w:w="590" w:type="pct"/>
            <w:tcBorders>
              <w:top w:val="single" w:color="000000" w:sz="4" w:space="0"/>
              <w:left w:val="single" w:color="000000" w:sz="4" w:space="0"/>
              <w:bottom w:val="single" w:color="000000" w:sz="4" w:space="0"/>
              <w:right w:val="single" w:color="000000" w:sz="4" w:space="0"/>
            </w:tcBorders>
            <w:vAlign w:val="center"/>
          </w:tcPr>
          <w:p w14:paraId="4315CCBB">
            <w:pPr>
              <w:widowControl/>
              <w:jc w:val="left"/>
              <w:rPr>
                <w:rFonts w:ascii="宋体" w:hAnsi="宋体" w:eastAsia="宋体" w:cs="宋体"/>
                <w:color w:val="000000"/>
                <w:kern w:val="0"/>
                <w:szCs w:val="21"/>
              </w:rPr>
            </w:pPr>
          </w:p>
        </w:tc>
      </w:tr>
      <w:tr w14:paraId="23641478">
        <w:tblPrEx>
          <w:tblCellMar>
            <w:top w:w="0" w:type="dxa"/>
            <w:left w:w="108" w:type="dxa"/>
            <w:bottom w:w="0" w:type="dxa"/>
            <w:right w:w="108" w:type="dxa"/>
          </w:tblCellMar>
        </w:tblPrEx>
        <w:trPr>
          <w:trHeight w:val="3300" w:hRule="atLeast"/>
        </w:trPr>
        <w:tc>
          <w:tcPr>
            <w:tcW w:w="233" w:type="pct"/>
            <w:tcBorders>
              <w:top w:val="single" w:color="000000" w:sz="4" w:space="0"/>
              <w:left w:val="single" w:color="000000" w:sz="4" w:space="0"/>
              <w:bottom w:val="single" w:color="000000" w:sz="4" w:space="0"/>
              <w:right w:val="nil"/>
            </w:tcBorders>
            <w:vAlign w:val="center"/>
          </w:tcPr>
          <w:p w14:paraId="5C06321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36</w:t>
            </w:r>
          </w:p>
        </w:tc>
        <w:tc>
          <w:tcPr>
            <w:tcW w:w="294" w:type="pct"/>
            <w:vMerge w:val="continue"/>
            <w:tcBorders>
              <w:top w:val="single" w:color="000000" w:sz="4" w:space="0"/>
              <w:left w:val="single" w:color="000000" w:sz="4" w:space="0"/>
              <w:bottom w:val="single" w:color="000000" w:sz="4" w:space="0"/>
              <w:right w:val="single" w:color="000000" w:sz="4" w:space="0"/>
            </w:tcBorders>
            <w:vAlign w:val="center"/>
          </w:tcPr>
          <w:p w14:paraId="2A95D065">
            <w:pPr>
              <w:widowControl/>
              <w:jc w:val="left"/>
              <w:rPr>
                <w:rFonts w:ascii="宋体" w:hAnsi="宋体" w:eastAsia="宋体" w:cs="宋体"/>
                <w:b/>
                <w:bCs/>
                <w:color w:val="000000"/>
                <w:kern w:val="0"/>
                <w:szCs w:val="21"/>
              </w:rPr>
            </w:pPr>
          </w:p>
        </w:tc>
        <w:tc>
          <w:tcPr>
            <w:tcW w:w="369" w:type="pct"/>
            <w:vMerge w:val="continue"/>
            <w:tcBorders>
              <w:top w:val="single" w:color="000000" w:sz="4" w:space="0"/>
              <w:left w:val="single" w:color="000000" w:sz="4" w:space="0"/>
              <w:bottom w:val="nil"/>
              <w:right w:val="single" w:color="000000" w:sz="4" w:space="0"/>
            </w:tcBorders>
            <w:vAlign w:val="center"/>
          </w:tcPr>
          <w:p w14:paraId="7B7C268D">
            <w:pPr>
              <w:widowControl/>
              <w:jc w:val="left"/>
              <w:rPr>
                <w:rFonts w:ascii="宋体" w:hAnsi="宋体" w:eastAsia="宋体" w:cs="宋体"/>
                <w:color w:val="000000"/>
                <w:kern w:val="0"/>
                <w:szCs w:val="21"/>
              </w:rPr>
            </w:pPr>
          </w:p>
        </w:tc>
        <w:tc>
          <w:tcPr>
            <w:tcW w:w="429" w:type="pct"/>
            <w:vMerge w:val="continue"/>
            <w:tcBorders>
              <w:top w:val="single" w:color="000000" w:sz="4" w:space="0"/>
              <w:left w:val="single" w:color="000000" w:sz="4" w:space="0"/>
              <w:bottom w:val="single" w:color="000000" w:sz="4" w:space="0"/>
              <w:right w:val="nil"/>
            </w:tcBorders>
            <w:vAlign w:val="center"/>
          </w:tcPr>
          <w:p w14:paraId="6ECEC5BE">
            <w:pPr>
              <w:widowControl/>
              <w:jc w:val="left"/>
              <w:rPr>
                <w:rFonts w:ascii="宋体" w:hAnsi="宋体" w:eastAsia="宋体" w:cs="宋体"/>
                <w:color w:val="000000"/>
                <w:kern w:val="0"/>
                <w:szCs w:val="21"/>
              </w:rPr>
            </w:pPr>
          </w:p>
        </w:tc>
        <w:tc>
          <w:tcPr>
            <w:tcW w:w="2551" w:type="pct"/>
            <w:tcBorders>
              <w:top w:val="single" w:color="000000" w:sz="4" w:space="0"/>
              <w:left w:val="single" w:color="000000" w:sz="4" w:space="0"/>
              <w:bottom w:val="single" w:color="000000" w:sz="4" w:space="0"/>
              <w:right w:val="single" w:color="000000" w:sz="4" w:space="0"/>
            </w:tcBorders>
            <w:vAlign w:val="center"/>
          </w:tcPr>
          <w:p w14:paraId="685DE3C4">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3.8.反馈意见：支持查看审核人员对于该清单的审批意见；</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3.9.违规结果定位：清单详情界面质控信息支持展示对应的违规字段名称，点击后可支持定位至左侧具体位置；</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3.10.翻页查询：支持快速翻看上一病例、下一病例清单详情，支持违规详情快速定位到具体位置，支持清单重抽；</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3.11.明细检索：支持查看单条清单的费用明细信息，并且支持按照医药机构目录名称搜索。</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4.支持显示字段自定义；</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5.支持按照距离清单结算时间长短划分紧急程度；</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6.清单列表界面支持查看编辑前后的主诊不一致、其他诊断不一致、主要手术不一致、其他手术不一致、分组不一致等的病例明细；</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7.支持数据导出下载。</w:t>
            </w:r>
          </w:p>
        </w:tc>
        <w:tc>
          <w:tcPr>
            <w:tcW w:w="530" w:type="pct"/>
            <w:tcBorders>
              <w:top w:val="single" w:color="000000" w:sz="4" w:space="0"/>
              <w:left w:val="single" w:color="000000" w:sz="4" w:space="0"/>
              <w:bottom w:val="single" w:color="000000" w:sz="4" w:space="0"/>
              <w:right w:val="single" w:color="000000" w:sz="4" w:space="0"/>
            </w:tcBorders>
            <w:vAlign w:val="center"/>
          </w:tcPr>
          <w:p w14:paraId="73FC0D6C">
            <w:pPr>
              <w:widowControl/>
              <w:jc w:val="left"/>
              <w:rPr>
                <w:rFonts w:ascii="宋体" w:hAnsi="宋体" w:eastAsia="宋体" w:cs="宋体"/>
                <w:color w:val="000000"/>
                <w:kern w:val="0"/>
                <w:szCs w:val="21"/>
              </w:rPr>
            </w:pPr>
          </w:p>
        </w:tc>
        <w:tc>
          <w:tcPr>
            <w:tcW w:w="590" w:type="pct"/>
            <w:tcBorders>
              <w:top w:val="single" w:color="000000" w:sz="4" w:space="0"/>
              <w:left w:val="single" w:color="000000" w:sz="4" w:space="0"/>
              <w:bottom w:val="single" w:color="000000" w:sz="4" w:space="0"/>
              <w:right w:val="single" w:color="000000" w:sz="4" w:space="0"/>
            </w:tcBorders>
            <w:vAlign w:val="center"/>
          </w:tcPr>
          <w:p w14:paraId="7536DD9D">
            <w:pPr>
              <w:widowControl/>
              <w:jc w:val="left"/>
              <w:rPr>
                <w:rFonts w:ascii="宋体" w:hAnsi="宋体" w:eastAsia="宋体" w:cs="宋体"/>
                <w:color w:val="000000"/>
                <w:kern w:val="0"/>
                <w:szCs w:val="21"/>
              </w:rPr>
            </w:pPr>
          </w:p>
        </w:tc>
      </w:tr>
      <w:tr w14:paraId="77E1268A">
        <w:tblPrEx>
          <w:tblCellMar>
            <w:top w:w="0" w:type="dxa"/>
            <w:left w:w="108" w:type="dxa"/>
            <w:bottom w:w="0" w:type="dxa"/>
            <w:right w:w="108" w:type="dxa"/>
          </w:tblCellMar>
        </w:tblPrEx>
        <w:trPr>
          <w:trHeight w:val="3300" w:hRule="atLeast"/>
        </w:trPr>
        <w:tc>
          <w:tcPr>
            <w:tcW w:w="233" w:type="pct"/>
            <w:tcBorders>
              <w:top w:val="single" w:color="000000" w:sz="4" w:space="0"/>
              <w:left w:val="single" w:color="000000" w:sz="4" w:space="0"/>
              <w:bottom w:val="single" w:color="000000" w:sz="4" w:space="0"/>
              <w:right w:val="nil"/>
            </w:tcBorders>
            <w:vAlign w:val="center"/>
          </w:tcPr>
          <w:p w14:paraId="3117AA4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37</w:t>
            </w:r>
          </w:p>
        </w:tc>
        <w:tc>
          <w:tcPr>
            <w:tcW w:w="294" w:type="pct"/>
            <w:vMerge w:val="continue"/>
            <w:tcBorders>
              <w:top w:val="single" w:color="000000" w:sz="4" w:space="0"/>
              <w:left w:val="single" w:color="000000" w:sz="4" w:space="0"/>
              <w:bottom w:val="single" w:color="000000" w:sz="4" w:space="0"/>
              <w:right w:val="single" w:color="000000" w:sz="4" w:space="0"/>
            </w:tcBorders>
            <w:vAlign w:val="center"/>
          </w:tcPr>
          <w:p w14:paraId="49B8CC9B">
            <w:pPr>
              <w:widowControl/>
              <w:jc w:val="left"/>
              <w:rPr>
                <w:rFonts w:ascii="宋体" w:hAnsi="宋体" w:eastAsia="宋体" w:cs="宋体"/>
                <w:b/>
                <w:bCs/>
                <w:color w:val="000000"/>
                <w:kern w:val="0"/>
                <w:szCs w:val="21"/>
              </w:rPr>
            </w:pPr>
          </w:p>
        </w:tc>
        <w:tc>
          <w:tcPr>
            <w:tcW w:w="369" w:type="pct"/>
            <w:tcBorders>
              <w:top w:val="single" w:color="000000" w:sz="4" w:space="0"/>
              <w:left w:val="single" w:color="000000" w:sz="4" w:space="0"/>
              <w:bottom w:val="nil"/>
              <w:right w:val="single" w:color="000000" w:sz="4" w:space="0"/>
            </w:tcBorders>
            <w:vAlign w:val="center"/>
          </w:tcPr>
          <w:p w14:paraId="763ED20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数据上传</w:t>
            </w:r>
          </w:p>
        </w:tc>
        <w:tc>
          <w:tcPr>
            <w:tcW w:w="429" w:type="pct"/>
            <w:tcBorders>
              <w:top w:val="single" w:color="000000" w:sz="4" w:space="0"/>
              <w:left w:val="single" w:color="000000" w:sz="4" w:space="0"/>
              <w:bottom w:val="single" w:color="000000" w:sz="4" w:space="0"/>
              <w:right w:val="nil"/>
            </w:tcBorders>
            <w:vAlign w:val="center"/>
          </w:tcPr>
          <w:p w14:paraId="4ED30716">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结算清单上传</w:t>
            </w:r>
          </w:p>
        </w:tc>
        <w:tc>
          <w:tcPr>
            <w:tcW w:w="2551" w:type="pct"/>
            <w:tcBorders>
              <w:top w:val="single" w:color="000000" w:sz="4" w:space="0"/>
              <w:left w:val="single" w:color="000000" w:sz="4" w:space="0"/>
              <w:bottom w:val="single" w:color="000000" w:sz="4" w:space="0"/>
              <w:right w:val="single" w:color="000000" w:sz="4" w:space="0"/>
            </w:tcBorders>
            <w:vAlign w:val="center"/>
          </w:tcPr>
          <w:p w14:paraId="3F1BDBFE">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提供产品支持以下功能：</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1.结合医院院内审核流程，调用医保结算清单相关接口实现清单的上传与质控服务，展示具体数据上传与质控情况，支持清单单条上传、批量上传、定时上传，批量撤档，支持按各种维度进行上传数据的筛选查询。支持导出上传详情，支持详情统计字段自定义；</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2.支持上传个性化配置；</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3.支持查看上传进度，系统内清单总数、待上传清单数、上传中清单数、上传成功清单数、上传失败清单数；</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4.上传清单列表支持按未入组，正常组进行列表查看；</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5.支持对二次结算病例的待办提醒及处理；</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6.支持院内已结算未归档清单查看及下钻，对未归档的数据一键重抽；</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7.支持对不纳入DIP结算的病例进行原因分析；</w:t>
            </w:r>
          </w:p>
        </w:tc>
        <w:tc>
          <w:tcPr>
            <w:tcW w:w="530" w:type="pct"/>
            <w:tcBorders>
              <w:top w:val="single" w:color="000000" w:sz="4" w:space="0"/>
              <w:left w:val="single" w:color="000000" w:sz="4" w:space="0"/>
              <w:bottom w:val="single" w:color="000000" w:sz="4" w:space="0"/>
              <w:right w:val="single" w:color="000000" w:sz="4" w:space="0"/>
            </w:tcBorders>
            <w:vAlign w:val="center"/>
          </w:tcPr>
          <w:p w14:paraId="3C7F6427">
            <w:pPr>
              <w:widowControl/>
              <w:jc w:val="left"/>
              <w:rPr>
                <w:rFonts w:ascii="宋体" w:hAnsi="宋体" w:eastAsia="宋体" w:cs="宋体"/>
                <w:color w:val="000000"/>
                <w:kern w:val="0"/>
                <w:szCs w:val="21"/>
              </w:rPr>
            </w:pPr>
          </w:p>
        </w:tc>
        <w:tc>
          <w:tcPr>
            <w:tcW w:w="590" w:type="pct"/>
            <w:tcBorders>
              <w:top w:val="single" w:color="000000" w:sz="4" w:space="0"/>
              <w:left w:val="single" w:color="000000" w:sz="4" w:space="0"/>
              <w:bottom w:val="single" w:color="000000" w:sz="4" w:space="0"/>
              <w:right w:val="single" w:color="000000" w:sz="4" w:space="0"/>
            </w:tcBorders>
            <w:vAlign w:val="center"/>
          </w:tcPr>
          <w:p w14:paraId="656BE8DC">
            <w:pPr>
              <w:widowControl/>
              <w:jc w:val="left"/>
              <w:rPr>
                <w:rFonts w:ascii="宋体" w:hAnsi="宋体" w:eastAsia="宋体" w:cs="宋体"/>
                <w:color w:val="000000"/>
                <w:kern w:val="0"/>
                <w:szCs w:val="21"/>
              </w:rPr>
            </w:pPr>
          </w:p>
        </w:tc>
      </w:tr>
      <w:tr w14:paraId="2096348D">
        <w:tblPrEx>
          <w:tblCellMar>
            <w:top w:w="0" w:type="dxa"/>
            <w:left w:w="108" w:type="dxa"/>
            <w:bottom w:w="0" w:type="dxa"/>
            <w:right w:w="108" w:type="dxa"/>
          </w:tblCellMar>
        </w:tblPrEx>
        <w:trPr>
          <w:trHeight w:val="4500" w:hRule="atLeast"/>
        </w:trPr>
        <w:tc>
          <w:tcPr>
            <w:tcW w:w="233" w:type="pct"/>
            <w:tcBorders>
              <w:top w:val="single" w:color="000000" w:sz="4" w:space="0"/>
              <w:left w:val="single" w:color="000000" w:sz="4" w:space="0"/>
              <w:bottom w:val="single" w:color="000000" w:sz="4" w:space="0"/>
              <w:right w:val="nil"/>
            </w:tcBorders>
            <w:vAlign w:val="center"/>
          </w:tcPr>
          <w:p w14:paraId="79EDBF7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38</w:t>
            </w:r>
          </w:p>
        </w:tc>
        <w:tc>
          <w:tcPr>
            <w:tcW w:w="294" w:type="pct"/>
            <w:vMerge w:val="restart"/>
            <w:tcBorders>
              <w:top w:val="single" w:color="000000" w:sz="4" w:space="0"/>
              <w:left w:val="single" w:color="000000" w:sz="4" w:space="0"/>
              <w:bottom w:val="single" w:color="000000" w:sz="4" w:space="0"/>
              <w:right w:val="single" w:color="000000" w:sz="4" w:space="0"/>
            </w:tcBorders>
            <w:vAlign w:val="center"/>
          </w:tcPr>
          <w:p w14:paraId="10B5BA53">
            <w:pPr>
              <w:widowControl/>
              <w:jc w:val="center"/>
              <w:rPr>
                <w:rFonts w:ascii="宋体" w:hAnsi="宋体" w:eastAsia="宋体" w:cs="宋体"/>
                <w:b/>
                <w:bCs/>
                <w:color w:val="000000"/>
                <w:kern w:val="0"/>
                <w:szCs w:val="21"/>
              </w:rPr>
            </w:pPr>
            <w:r>
              <w:rPr>
                <w:rFonts w:hint="eastAsia" w:ascii="宋体" w:hAnsi="宋体" w:eastAsia="宋体" w:cs="宋体"/>
                <w:b/>
                <w:bCs/>
                <w:color w:val="000000"/>
                <w:kern w:val="0"/>
                <w:szCs w:val="21"/>
              </w:rPr>
              <w:t>病案质控系统</w:t>
            </w:r>
          </w:p>
        </w:tc>
        <w:tc>
          <w:tcPr>
            <w:tcW w:w="369" w:type="pct"/>
            <w:tcBorders>
              <w:top w:val="single" w:color="000000" w:sz="4" w:space="0"/>
              <w:left w:val="single" w:color="000000" w:sz="4" w:space="0"/>
              <w:bottom w:val="single" w:color="000000" w:sz="4" w:space="0"/>
              <w:right w:val="single" w:color="000000" w:sz="4" w:space="0"/>
            </w:tcBorders>
            <w:vAlign w:val="center"/>
          </w:tcPr>
          <w:p w14:paraId="63DBFD0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医院病案系统首页</w:t>
            </w:r>
          </w:p>
        </w:tc>
        <w:tc>
          <w:tcPr>
            <w:tcW w:w="429" w:type="pct"/>
            <w:tcBorders>
              <w:top w:val="single" w:color="000000" w:sz="4" w:space="0"/>
              <w:left w:val="single" w:color="000000" w:sz="4" w:space="0"/>
              <w:bottom w:val="single" w:color="000000" w:sz="4" w:space="0"/>
              <w:right w:val="single" w:color="000000" w:sz="4" w:space="0"/>
            </w:tcBorders>
            <w:vAlign w:val="center"/>
          </w:tcPr>
          <w:p w14:paraId="5560959D">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病案系统首页</w:t>
            </w:r>
          </w:p>
        </w:tc>
        <w:tc>
          <w:tcPr>
            <w:tcW w:w="2551" w:type="pct"/>
            <w:tcBorders>
              <w:top w:val="single" w:color="000000" w:sz="4" w:space="0"/>
              <w:left w:val="single" w:color="000000" w:sz="4" w:space="0"/>
              <w:bottom w:val="single" w:color="000000" w:sz="4" w:space="0"/>
              <w:right w:val="single" w:color="000000" w:sz="4" w:space="0"/>
            </w:tcBorders>
            <w:vAlign w:val="center"/>
          </w:tcPr>
          <w:p w14:paraId="25066F1B">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提供产品支持以下功能：</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1.审核情况:展示所选时间范围内医院病案审核各维度情况，包括完成审核与未完成审核病案数量、病案违规占比、修正前后评分对比以及各审核流审核进度可视化图，各病案数可下钻；</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2.综合能力分析:展示所选时间范围内医院病案分组重要指标的统计值与同比变化情况;</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3.科室违规统计:展示所选时间范围内按科室维度统计的违规病案总量可视化图表，支持数据下载;</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4.手术开展情况:对医院所有病案首页进行手术情况统计图表展示，包括手术占比、三四级手术占比、微创手术占比、并发症发生率、I类切口手术部位感染率、低风险病组死亡率;</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5.综合分析</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5.1.展示所选时间范围内医院违反各类规则的病案总量可视化图，支持科室筛选查询；</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5.2.展示所选时间范围内按病案模块与字段分类的违规病案总量可视化图，支持科室筛选查询；</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5.3.展示所选时间范围内各级别手术台次数以及对应主刀医生的术前术后天数等指标统计情况，支持科室筛选查询；</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5.4.展示所选时间范围内按病案明细类目划分的费用占比可视化图表，支持科室筛选查询；</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5.5.展示所选时间范围内医院单病种开展情况，支持科室筛选查询；</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5.6.展示所选时间范围内亚目统计列表，支持科室筛选查询。</w:t>
            </w:r>
          </w:p>
        </w:tc>
        <w:tc>
          <w:tcPr>
            <w:tcW w:w="530" w:type="pct"/>
            <w:tcBorders>
              <w:top w:val="single" w:color="000000" w:sz="4" w:space="0"/>
              <w:left w:val="single" w:color="000000" w:sz="4" w:space="0"/>
              <w:bottom w:val="single" w:color="000000" w:sz="4" w:space="0"/>
              <w:right w:val="single" w:color="000000" w:sz="4" w:space="0"/>
            </w:tcBorders>
            <w:vAlign w:val="center"/>
          </w:tcPr>
          <w:p w14:paraId="16AE74B4">
            <w:pPr>
              <w:widowControl/>
              <w:jc w:val="left"/>
              <w:rPr>
                <w:rFonts w:ascii="宋体" w:hAnsi="宋体" w:eastAsia="宋体" w:cs="宋体"/>
                <w:color w:val="000000"/>
                <w:kern w:val="0"/>
                <w:szCs w:val="21"/>
              </w:rPr>
            </w:pPr>
          </w:p>
        </w:tc>
        <w:tc>
          <w:tcPr>
            <w:tcW w:w="590" w:type="pct"/>
            <w:tcBorders>
              <w:top w:val="single" w:color="000000" w:sz="4" w:space="0"/>
              <w:left w:val="single" w:color="000000" w:sz="4" w:space="0"/>
              <w:bottom w:val="single" w:color="000000" w:sz="4" w:space="0"/>
              <w:right w:val="single" w:color="000000" w:sz="4" w:space="0"/>
            </w:tcBorders>
            <w:vAlign w:val="center"/>
          </w:tcPr>
          <w:p w14:paraId="213404AF">
            <w:pPr>
              <w:widowControl/>
              <w:jc w:val="left"/>
              <w:rPr>
                <w:rFonts w:ascii="宋体" w:hAnsi="宋体" w:eastAsia="宋体" w:cs="宋体"/>
                <w:color w:val="000000"/>
                <w:kern w:val="0"/>
                <w:szCs w:val="21"/>
              </w:rPr>
            </w:pPr>
          </w:p>
        </w:tc>
      </w:tr>
      <w:tr w14:paraId="596CE9D8">
        <w:tblPrEx>
          <w:tblCellMar>
            <w:top w:w="0" w:type="dxa"/>
            <w:left w:w="108" w:type="dxa"/>
            <w:bottom w:w="0" w:type="dxa"/>
            <w:right w:w="108" w:type="dxa"/>
          </w:tblCellMar>
        </w:tblPrEx>
        <w:trPr>
          <w:trHeight w:val="900" w:hRule="atLeast"/>
        </w:trPr>
        <w:tc>
          <w:tcPr>
            <w:tcW w:w="233" w:type="pct"/>
            <w:tcBorders>
              <w:top w:val="single" w:color="000000" w:sz="4" w:space="0"/>
              <w:left w:val="single" w:color="000000" w:sz="4" w:space="0"/>
              <w:bottom w:val="single" w:color="000000" w:sz="4" w:space="0"/>
              <w:right w:val="nil"/>
            </w:tcBorders>
            <w:vAlign w:val="center"/>
          </w:tcPr>
          <w:p w14:paraId="50FBF35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39</w:t>
            </w:r>
          </w:p>
        </w:tc>
        <w:tc>
          <w:tcPr>
            <w:tcW w:w="294" w:type="pct"/>
            <w:vMerge w:val="continue"/>
            <w:tcBorders>
              <w:top w:val="single" w:color="000000" w:sz="4" w:space="0"/>
              <w:left w:val="single" w:color="000000" w:sz="4" w:space="0"/>
              <w:bottom w:val="single" w:color="000000" w:sz="4" w:space="0"/>
              <w:right w:val="single" w:color="000000" w:sz="4" w:space="0"/>
            </w:tcBorders>
            <w:vAlign w:val="center"/>
          </w:tcPr>
          <w:p w14:paraId="1B2FFC86">
            <w:pPr>
              <w:widowControl/>
              <w:jc w:val="left"/>
              <w:rPr>
                <w:rFonts w:ascii="宋体" w:hAnsi="宋体" w:eastAsia="宋体" w:cs="宋体"/>
                <w:b/>
                <w:bCs/>
                <w:color w:val="000000"/>
                <w:kern w:val="0"/>
                <w:szCs w:val="21"/>
              </w:rPr>
            </w:pPr>
          </w:p>
        </w:tc>
        <w:tc>
          <w:tcPr>
            <w:tcW w:w="369" w:type="pct"/>
            <w:vMerge w:val="restart"/>
            <w:tcBorders>
              <w:top w:val="single" w:color="000000" w:sz="4" w:space="0"/>
              <w:left w:val="single" w:color="000000" w:sz="4" w:space="0"/>
              <w:bottom w:val="single" w:color="000000" w:sz="4" w:space="0"/>
              <w:right w:val="single" w:color="000000" w:sz="4" w:space="0"/>
            </w:tcBorders>
            <w:vAlign w:val="center"/>
          </w:tcPr>
          <w:p w14:paraId="541698A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质控审核</w:t>
            </w:r>
          </w:p>
        </w:tc>
        <w:tc>
          <w:tcPr>
            <w:tcW w:w="429" w:type="pct"/>
            <w:tcBorders>
              <w:top w:val="single" w:color="000000" w:sz="4" w:space="0"/>
              <w:left w:val="single" w:color="000000" w:sz="4" w:space="0"/>
              <w:bottom w:val="single" w:color="000000" w:sz="4" w:space="0"/>
              <w:right w:val="nil"/>
            </w:tcBorders>
            <w:vAlign w:val="center"/>
          </w:tcPr>
          <w:p w14:paraId="7B64679F">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审核节点/审核流自定义配置</w:t>
            </w:r>
          </w:p>
        </w:tc>
        <w:tc>
          <w:tcPr>
            <w:tcW w:w="2551" w:type="pct"/>
            <w:tcBorders>
              <w:top w:val="single" w:color="000000" w:sz="4" w:space="0"/>
              <w:left w:val="single" w:color="000000" w:sz="4" w:space="0"/>
              <w:bottom w:val="single" w:color="000000" w:sz="4" w:space="0"/>
              <w:right w:val="single" w:color="000000" w:sz="4" w:space="0"/>
            </w:tcBorders>
            <w:vAlign w:val="center"/>
          </w:tcPr>
          <w:p w14:paraId="710F7B9E">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系统内置初审、复审、终审等最多5个节点审核流，根据医院管理进行自定义配置；支持定义不同审核流用户可编辑的病案区域。</w:t>
            </w:r>
          </w:p>
        </w:tc>
        <w:tc>
          <w:tcPr>
            <w:tcW w:w="530" w:type="pct"/>
            <w:tcBorders>
              <w:top w:val="single" w:color="000000" w:sz="4" w:space="0"/>
              <w:left w:val="single" w:color="000000" w:sz="4" w:space="0"/>
              <w:bottom w:val="single" w:color="000000" w:sz="4" w:space="0"/>
              <w:right w:val="single" w:color="000000" w:sz="4" w:space="0"/>
            </w:tcBorders>
            <w:vAlign w:val="center"/>
          </w:tcPr>
          <w:p w14:paraId="5B0ECBEE">
            <w:pPr>
              <w:widowControl/>
              <w:jc w:val="left"/>
              <w:rPr>
                <w:rFonts w:ascii="宋体" w:hAnsi="宋体" w:eastAsia="宋体" w:cs="宋体"/>
                <w:color w:val="000000"/>
                <w:kern w:val="0"/>
                <w:szCs w:val="21"/>
              </w:rPr>
            </w:pPr>
          </w:p>
        </w:tc>
        <w:tc>
          <w:tcPr>
            <w:tcW w:w="590" w:type="pct"/>
            <w:tcBorders>
              <w:top w:val="single" w:color="000000" w:sz="4" w:space="0"/>
              <w:left w:val="single" w:color="000000" w:sz="4" w:space="0"/>
              <w:bottom w:val="single" w:color="000000" w:sz="4" w:space="0"/>
              <w:right w:val="single" w:color="000000" w:sz="4" w:space="0"/>
            </w:tcBorders>
            <w:vAlign w:val="center"/>
          </w:tcPr>
          <w:p w14:paraId="26A07FAD">
            <w:pPr>
              <w:widowControl/>
              <w:jc w:val="left"/>
              <w:rPr>
                <w:rFonts w:ascii="宋体" w:hAnsi="宋体" w:eastAsia="宋体" w:cs="宋体"/>
                <w:color w:val="000000"/>
                <w:kern w:val="0"/>
                <w:szCs w:val="21"/>
              </w:rPr>
            </w:pPr>
          </w:p>
        </w:tc>
      </w:tr>
      <w:tr w14:paraId="3D02E370">
        <w:tblPrEx>
          <w:tblCellMar>
            <w:top w:w="0" w:type="dxa"/>
            <w:left w:w="108" w:type="dxa"/>
            <w:bottom w:w="0" w:type="dxa"/>
            <w:right w:w="108" w:type="dxa"/>
          </w:tblCellMar>
        </w:tblPrEx>
        <w:trPr>
          <w:trHeight w:val="1200" w:hRule="atLeast"/>
        </w:trPr>
        <w:tc>
          <w:tcPr>
            <w:tcW w:w="233" w:type="pct"/>
            <w:tcBorders>
              <w:top w:val="single" w:color="000000" w:sz="4" w:space="0"/>
              <w:left w:val="single" w:color="000000" w:sz="4" w:space="0"/>
              <w:bottom w:val="single" w:color="000000" w:sz="4" w:space="0"/>
              <w:right w:val="nil"/>
            </w:tcBorders>
            <w:vAlign w:val="center"/>
          </w:tcPr>
          <w:p w14:paraId="4FFA21E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40</w:t>
            </w:r>
          </w:p>
        </w:tc>
        <w:tc>
          <w:tcPr>
            <w:tcW w:w="294" w:type="pct"/>
            <w:vMerge w:val="continue"/>
            <w:tcBorders>
              <w:top w:val="single" w:color="000000" w:sz="4" w:space="0"/>
              <w:left w:val="single" w:color="000000" w:sz="4" w:space="0"/>
              <w:bottom w:val="single" w:color="000000" w:sz="4" w:space="0"/>
              <w:right w:val="single" w:color="000000" w:sz="4" w:space="0"/>
            </w:tcBorders>
            <w:vAlign w:val="center"/>
          </w:tcPr>
          <w:p w14:paraId="03BB7075">
            <w:pPr>
              <w:widowControl/>
              <w:jc w:val="left"/>
              <w:rPr>
                <w:rFonts w:ascii="宋体" w:hAnsi="宋体" w:eastAsia="宋体" w:cs="宋体"/>
                <w:b/>
                <w:bCs/>
                <w:color w:val="000000"/>
                <w:kern w:val="0"/>
                <w:szCs w:val="21"/>
              </w:rPr>
            </w:pPr>
          </w:p>
        </w:tc>
        <w:tc>
          <w:tcPr>
            <w:tcW w:w="369" w:type="pct"/>
            <w:vMerge w:val="continue"/>
            <w:tcBorders>
              <w:top w:val="single" w:color="000000" w:sz="4" w:space="0"/>
              <w:left w:val="single" w:color="000000" w:sz="4" w:space="0"/>
              <w:bottom w:val="single" w:color="000000" w:sz="4" w:space="0"/>
              <w:right w:val="single" w:color="000000" w:sz="4" w:space="0"/>
            </w:tcBorders>
            <w:vAlign w:val="center"/>
          </w:tcPr>
          <w:p w14:paraId="619344E2">
            <w:pPr>
              <w:widowControl/>
              <w:jc w:val="left"/>
              <w:rPr>
                <w:rFonts w:ascii="宋体" w:hAnsi="宋体" w:eastAsia="宋体" w:cs="宋体"/>
                <w:color w:val="000000"/>
                <w:kern w:val="0"/>
                <w:szCs w:val="21"/>
              </w:rPr>
            </w:pPr>
          </w:p>
        </w:tc>
        <w:tc>
          <w:tcPr>
            <w:tcW w:w="429" w:type="pct"/>
            <w:tcBorders>
              <w:top w:val="single" w:color="000000" w:sz="4" w:space="0"/>
              <w:left w:val="single" w:color="000000" w:sz="4" w:space="0"/>
              <w:bottom w:val="single" w:color="000000" w:sz="4" w:space="0"/>
              <w:right w:val="nil"/>
            </w:tcBorders>
            <w:vAlign w:val="center"/>
          </w:tcPr>
          <w:p w14:paraId="50120C54">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病案审核</w:t>
            </w:r>
          </w:p>
        </w:tc>
        <w:tc>
          <w:tcPr>
            <w:tcW w:w="2551" w:type="pct"/>
            <w:tcBorders>
              <w:top w:val="single" w:color="000000" w:sz="4" w:space="0"/>
              <w:left w:val="single" w:color="000000" w:sz="4" w:space="0"/>
              <w:bottom w:val="single" w:color="000000" w:sz="4" w:space="0"/>
              <w:right w:val="single" w:color="000000" w:sz="4" w:space="0"/>
            </w:tcBorders>
            <w:vAlign w:val="center"/>
          </w:tcPr>
          <w:p w14:paraId="13BB3987">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提供产品支持：</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1.根据不同审核流进行病案质控审核，审核界面包括各类筛选条件、审核病案列表、质控违规结果、反馈意见等内容</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2.支持清单与病案首页的页面灵活切换。</w:t>
            </w:r>
          </w:p>
        </w:tc>
        <w:tc>
          <w:tcPr>
            <w:tcW w:w="530" w:type="pct"/>
            <w:tcBorders>
              <w:top w:val="single" w:color="000000" w:sz="4" w:space="0"/>
              <w:left w:val="single" w:color="000000" w:sz="4" w:space="0"/>
              <w:bottom w:val="single" w:color="000000" w:sz="4" w:space="0"/>
              <w:right w:val="single" w:color="000000" w:sz="4" w:space="0"/>
            </w:tcBorders>
            <w:vAlign w:val="center"/>
          </w:tcPr>
          <w:p w14:paraId="38CE3AE5">
            <w:pPr>
              <w:widowControl/>
              <w:jc w:val="left"/>
              <w:rPr>
                <w:rFonts w:ascii="宋体" w:hAnsi="宋体" w:eastAsia="宋体" w:cs="宋体"/>
                <w:color w:val="000000"/>
                <w:kern w:val="0"/>
                <w:szCs w:val="21"/>
              </w:rPr>
            </w:pPr>
          </w:p>
        </w:tc>
        <w:tc>
          <w:tcPr>
            <w:tcW w:w="590" w:type="pct"/>
            <w:tcBorders>
              <w:top w:val="single" w:color="000000" w:sz="4" w:space="0"/>
              <w:left w:val="single" w:color="000000" w:sz="4" w:space="0"/>
              <w:bottom w:val="single" w:color="000000" w:sz="4" w:space="0"/>
              <w:right w:val="single" w:color="000000" w:sz="4" w:space="0"/>
            </w:tcBorders>
            <w:vAlign w:val="center"/>
          </w:tcPr>
          <w:p w14:paraId="7008859D">
            <w:pPr>
              <w:widowControl/>
              <w:jc w:val="left"/>
              <w:rPr>
                <w:rFonts w:ascii="宋体" w:hAnsi="宋体" w:eastAsia="宋体" w:cs="宋体"/>
                <w:color w:val="000000"/>
                <w:kern w:val="0"/>
                <w:szCs w:val="21"/>
              </w:rPr>
            </w:pPr>
          </w:p>
        </w:tc>
      </w:tr>
      <w:tr w14:paraId="6F960EC8">
        <w:tblPrEx>
          <w:tblCellMar>
            <w:top w:w="0" w:type="dxa"/>
            <w:left w:w="108" w:type="dxa"/>
            <w:bottom w:w="0" w:type="dxa"/>
            <w:right w:w="108" w:type="dxa"/>
          </w:tblCellMar>
        </w:tblPrEx>
        <w:trPr>
          <w:trHeight w:val="300" w:hRule="atLeast"/>
        </w:trPr>
        <w:tc>
          <w:tcPr>
            <w:tcW w:w="233" w:type="pct"/>
            <w:tcBorders>
              <w:top w:val="single" w:color="000000" w:sz="4" w:space="0"/>
              <w:left w:val="single" w:color="000000" w:sz="4" w:space="0"/>
              <w:bottom w:val="single" w:color="000000" w:sz="4" w:space="0"/>
              <w:right w:val="nil"/>
            </w:tcBorders>
            <w:vAlign w:val="center"/>
          </w:tcPr>
          <w:p w14:paraId="1909F5B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41</w:t>
            </w:r>
          </w:p>
        </w:tc>
        <w:tc>
          <w:tcPr>
            <w:tcW w:w="294" w:type="pct"/>
            <w:vMerge w:val="continue"/>
            <w:tcBorders>
              <w:top w:val="single" w:color="000000" w:sz="4" w:space="0"/>
              <w:left w:val="single" w:color="000000" w:sz="4" w:space="0"/>
              <w:bottom w:val="single" w:color="000000" w:sz="4" w:space="0"/>
              <w:right w:val="single" w:color="000000" w:sz="4" w:space="0"/>
            </w:tcBorders>
            <w:vAlign w:val="center"/>
          </w:tcPr>
          <w:p w14:paraId="0B3A6353">
            <w:pPr>
              <w:widowControl/>
              <w:jc w:val="left"/>
              <w:rPr>
                <w:rFonts w:ascii="宋体" w:hAnsi="宋体" w:eastAsia="宋体" w:cs="宋体"/>
                <w:b/>
                <w:bCs/>
                <w:color w:val="000000"/>
                <w:kern w:val="0"/>
                <w:szCs w:val="21"/>
              </w:rPr>
            </w:pPr>
          </w:p>
        </w:tc>
        <w:tc>
          <w:tcPr>
            <w:tcW w:w="369" w:type="pct"/>
            <w:vMerge w:val="continue"/>
            <w:tcBorders>
              <w:top w:val="single" w:color="000000" w:sz="4" w:space="0"/>
              <w:left w:val="single" w:color="000000" w:sz="4" w:space="0"/>
              <w:bottom w:val="single" w:color="000000" w:sz="4" w:space="0"/>
              <w:right w:val="single" w:color="000000" w:sz="4" w:space="0"/>
            </w:tcBorders>
            <w:vAlign w:val="center"/>
          </w:tcPr>
          <w:p w14:paraId="46E1D92E">
            <w:pPr>
              <w:widowControl/>
              <w:jc w:val="left"/>
              <w:rPr>
                <w:rFonts w:ascii="宋体" w:hAnsi="宋体" w:eastAsia="宋体" w:cs="宋体"/>
                <w:color w:val="000000"/>
                <w:kern w:val="0"/>
                <w:szCs w:val="21"/>
              </w:rPr>
            </w:pPr>
          </w:p>
        </w:tc>
        <w:tc>
          <w:tcPr>
            <w:tcW w:w="429" w:type="pct"/>
            <w:tcBorders>
              <w:top w:val="single" w:color="000000" w:sz="4" w:space="0"/>
              <w:left w:val="single" w:color="000000" w:sz="4" w:space="0"/>
              <w:bottom w:val="single" w:color="000000" w:sz="4" w:space="0"/>
              <w:right w:val="nil"/>
            </w:tcBorders>
            <w:vAlign w:val="center"/>
          </w:tcPr>
          <w:p w14:paraId="2A64D289">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规则配置</w:t>
            </w:r>
          </w:p>
        </w:tc>
        <w:tc>
          <w:tcPr>
            <w:tcW w:w="2551" w:type="pct"/>
            <w:tcBorders>
              <w:top w:val="single" w:color="000000" w:sz="4" w:space="0"/>
              <w:left w:val="single" w:color="000000" w:sz="4" w:space="0"/>
              <w:bottom w:val="single" w:color="000000" w:sz="4" w:space="0"/>
              <w:right w:val="single" w:color="000000" w:sz="4" w:space="0"/>
            </w:tcBorders>
            <w:vAlign w:val="center"/>
          </w:tcPr>
          <w:p w14:paraId="39025DF8">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支持病案审核质控规则自定义</w:t>
            </w:r>
          </w:p>
        </w:tc>
        <w:tc>
          <w:tcPr>
            <w:tcW w:w="530" w:type="pct"/>
            <w:tcBorders>
              <w:top w:val="single" w:color="000000" w:sz="4" w:space="0"/>
              <w:left w:val="single" w:color="000000" w:sz="4" w:space="0"/>
              <w:bottom w:val="single" w:color="000000" w:sz="4" w:space="0"/>
              <w:right w:val="single" w:color="000000" w:sz="4" w:space="0"/>
            </w:tcBorders>
            <w:vAlign w:val="center"/>
          </w:tcPr>
          <w:p w14:paraId="64D19464">
            <w:pPr>
              <w:widowControl/>
              <w:jc w:val="left"/>
              <w:rPr>
                <w:rFonts w:ascii="宋体" w:hAnsi="宋体" w:eastAsia="宋体" w:cs="宋体"/>
                <w:color w:val="000000"/>
                <w:kern w:val="0"/>
                <w:szCs w:val="21"/>
              </w:rPr>
            </w:pPr>
          </w:p>
        </w:tc>
        <w:tc>
          <w:tcPr>
            <w:tcW w:w="590" w:type="pct"/>
            <w:tcBorders>
              <w:top w:val="single" w:color="000000" w:sz="4" w:space="0"/>
              <w:left w:val="single" w:color="000000" w:sz="4" w:space="0"/>
              <w:bottom w:val="single" w:color="000000" w:sz="4" w:space="0"/>
              <w:right w:val="single" w:color="000000" w:sz="4" w:space="0"/>
            </w:tcBorders>
            <w:vAlign w:val="center"/>
          </w:tcPr>
          <w:p w14:paraId="183E9D4E">
            <w:pPr>
              <w:widowControl/>
              <w:jc w:val="left"/>
              <w:rPr>
                <w:rFonts w:ascii="宋体" w:hAnsi="宋体" w:eastAsia="宋体" w:cs="宋体"/>
                <w:color w:val="000000"/>
                <w:kern w:val="0"/>
                <w:szCs w:val="21"/>
              </w:rPr>
            </w:pPr>
          </w:p>
        </w:tc>
      </w:tr>
      <w:tr w14:paraId="60698A95">
        <w:tblPrEx>
          <w:tblCellMar>
            <w:top w:w="0" w:type="dxa"/>
            <w:left w:w="108" w:type="dxa"/>
            <w:bottom w:w="0" w:type="dxa"/>
            <w:right w:w="108" w:type="dxa"/>
          </w:tblCellMar>
        </w:tblPrEx>
        <w:trPr>
          <w:trHeight w:val="600" w:hRule="atLeast"/>
        </w:trPr>
        <w:tc>
          <w:tcPr>
            <w:tcW w:w="233" w:type="pct"/>
            <w:tcBorders>
              <w:top w:val="single" w:color="000000" w:sz="4" w:space="0"/>
              <w:left w:val="single" w:color="000000" w:sz="4" w:space="0"/>
              <w:bottom w:val="single" w:color="000000" w:sz="4" w:space="0"/>
              <w:right w:val="nil"/>
            </w:tcBorders>
            <w:vAlign w:val="center"/>
          </w:tcPr>
          <w:p w14:paraId="26E53F4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42</w:t>
            </w:r>
          </w:p>
        </w:tc>
        <w:tc>
          <w:tcPr>
            <w:tcW w:w="294" w:type="pct"/>
            <w:vMerge w:val="continue"/>
            <w:tcBorders>
              <w:top w:val="single" w:color="000000" w:sz="4" w:space="0"/>
              <w:left w:val="single" w:color="000000" w:sz="4" w:space="0"/>
              <w:bottom w:val="single" w:color="000000" w:sz="4" w:space="0"/>
              <w:right w:val="single" w:color="000000" w:sz="4" w:space="0"/>
            </w:tcBorders>
            <w:vAlign w:val="center"/>
          </w:tcPr>
          <w:p w14:paraId="61D7007B">
            <w:pPr>
              <w:widowControl/>
              <w:jc w:val="left"/>
              <w:rPr>
                <w:rFonts w:ascii="宋体" w:hAnsi="宋体" w:eastAsia="宋体" w:cs="宋体"/>
                <w:b/>
                <w:bCs/>
                <w:color w:val="000000"/>
                <w:kern w:val="0"/>
                <w:szCs w:val="21"/>
              </w:rPr>
            </w:pPr>
          </w:p>
        </w:tc>
        <w:tc>
          <w:tcPr>
            <w:tcW w:w="369" w:type="pct"/>
            <w:tcBorders>
              <w:top w:val="single" w:color="000000" w:sz="4" w:space="0"/>
              <w:left w:val="single" w:color="000000" w:sz="4" w:space="0"/>
              <w:bottom w:val="single" w:color="000000" w:sz="4" w:space="0"/>
              <w:right w:val="single" w:color="000000" w:sz="4" w:space="0"/>
            </w:tcBorders>
            <w:vAlign w:val="center"/>
          </w:tcPr>
          <w:p w14:paraId="62AE37C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工作量统计</w:t>
            </w:r>
          </w:p>
        </w:tc>
        <w:tc>
          <w:tcPr>
            <w:tcW w:w="429" w:type="pct"/>
            <w:tcBorders>
              <w:top w:val="single" w:color="000000" w:sz="4" w:space="0"/>
              <w:left w:val="single" w:color="000000" w:sz="4" w:space="0"/>
              <w:bottom w:val="single" w:color="000000" w:sz="4" w:space="0"/>
              <w:right w:val="nil"/>
            </w:tcBorders>
            <w:vAlign w:val="center"/>
          </w:tcPr>
          <w:p w14:paraId="00266C27">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病案工作量统计</w:t>
            </w:r>
          </w:p>
        </w:tc>
        <w:tc>
          <w:tcPr>
            <w:tcW w:w="2551" w:type="pct"/>
            <w:tcBorders>
              <w:top w:val="single" w:color="000000" w:sz="4" w:space="0"/>
              <w:left w:val="single" w:color="000000" w:sz="4" w:space="0"/>
              <w:bottom w:val="single" w:color="000000" w:sz="4" w:space="0"/>
              <w:right w:val="single" w:color="000000" w:sz="4" w:space="0"/>
            </w:tcBorders>
            <w:vAlign w:val="center"/>
          </w:tcPr>
          <w:p w14:paraId="797657B8">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提供产品支持对系统内各审核账号的工作情况进行核定统计与分析，包括审核病案量、驳回反馈病案以及按病案模块划分的工作量统计指标，支持数据下载</w:t>
            </w:r>
          </w:p>
        </w:tc>
        <w:tc>
          <w:tcPr>
            <w:tcW w:w="530" w:type="pct"/>
            <w:tcBorders>
              <w:top w:val="single" w:color="000000" w:sz="4" w:space="0"/>
              <w:left w:val="single" w:color="000000" w:sz="4" w:space="0"/>
              <w:bottom w:val="single" w:color="000000" w:sz="4" w:space="0"/>
              <w:right w:val="single" w:color="000000" w:sz="4" w:space="0"/>
            </w:tcBorders>
            <w:vAlign w:val="center"/>
          </w:tcPr>
          <w:p w14:paraId="5AC5F523">
            <w:pPr>
              <w:widowControl/>
              <w:jc w:val="left"/>
              <w:rPr>
                <w:rFonts w:ascii="宋体" w:hAnsi="宋体" w:eastAsia="宋体" w:cs="宋体"/>
                <w:color w:val="000000"/>
                <w:kern w:val="0"/>
                <w:szCs w:val="21"/>
              </w:rPr>
            </w:pPr>
          </w:p>
        </w:tc>
        <w:tc>
          <w:tcPr>
            <w:tcW w:w="590" w:type="pct"/>
            <w:tcBorders>
              <w:top w:val="single" w:color="000000" w:sz="4" w:space="0"/>
              <w:left w:val="single" w:color="000000" w:sz="4" w:space="0"/>
              <w:bottom w:val="single" w:color="000000" w:sz="4" w:space="0"/>
              <w:right w:val="single" w:color="000000" w:sz="4" w:space="0"/>
            </w:tcBorders>
            <w:vAlign w:val="center"/>
          </w:tcPr>
          <w:p w14:paraId="2D0F01BE">
            <w:pPr>
              <w:widowControl/>
              <w:jc w:val="left"/>
              <w:rPr>
                <w:rFonts w:ascii="宋体" w:hAnsi="宋体" w:eastAsia="宋体" w:cs="宋体"/>
                <w:color w:val="000000"/>
                <w:kern w:val="0"/>
                <w:szCs w:val="21"/>
              </w:rPr>
            </w:pPr>
          </w:p>
        </w:tc>
      </w:tr>
      <w:tr w14:paraId="1CB6460B">
        <w:tblPrEx>
          <w:tblCellMar>
            <w:top w:w="0" w:type="dxa"/>
            <w:left w:w="108" w:type="dxa"/>
            <w:bottom w:w="0" w:type="dxa"/>
            <w:right w:w="108" w:type="dxa"/>
          </w:tblCellMar>
        </w:tblPrEx>
        <w:trPr>
          <w:trHeight w:val="2400" w:hRule="atLeast"/>
        </w:trPr>
        <w:tc>
          <w:tcPr>
            <w:tcW w:w="233" w:type="pct"/>
            <w:tcBorders>
              <w:top w:val="single" w:color="000000" w:sz="4" w:space="0"/>
              <w:left w:val="single" w:color="000000" w:sz="4" w:space="0"/>
              <w:bottom w:val="single" w:color="000000" w:sz="4" w:space="0"/>
              <w:right w:val="nil"/>
            </w:tcBorders>
            <w:vAlign w:val="center"/>
          </w:tcPr>
          <w:p w14:paraId="01E7FE3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43</w:t>
            </w:r>
          </w:p>
        </w:tc>
        <w:tc>
          <w:tcPr>
            <w:tcW w:w="294" w:type="pct"/>
            <w:vMerge w:val="continue"/>
            <w:tcBorders>
              <w:top w:val="single" w:color="000000" w:sz="4" w:space="0"/>
              <w:left w:val="single" w:color="000000" w:sz="4" w:space="0"/>
              <w:bottom w:val="single" w:color="000000" w:sz="4" w:space="0"/>
              <w:right w:val="single" w:color="000000" w:sz="4" w:space="0"/>
            </w:tcBorders>
            <w:vAlign w:val="center"/>
          </w:tcPr>
          <w:p w14:paraId="612C5080">
            <w:pPr>
              <w:widowControl/>
              <w:jc w:val="left"/>
              <w:rPr>
                <w:rFonts w:ascii="宋体" w:hAnsi="宋体" w:eastAsia="宋体" w:cs="宋体"/>
                <w:b/>
                <w:bCs/>
                <w:color w:val="000000"/>
                <w:kern w:val="0"/>
                <w:szCs w:val="21"/>
              </w:rPr>
            </w:pPr>
          </w:p>
        </w:tc>
        <w:tc>
          <w:tcPr>
            <w:tcW w:w="369" w:type="pct"/>
            <w:vMerge w:val="restart"/>
            <w:tcBorders>
              <w:top w:val="single" w:color="000000" w:sz="4" w:space="0"/>
              <w:left w:val="single" w:color="000000" w:sz="4" w:space="0"/>
              <w:bottom w:val="single" w:color="000000" w:sz="4" w:space="0"/>
              <w:right w:val="single" w:color="000000" w:sz="4" w:space="0"/>
            </w:tcBorders>
            <w:vAlign w:val="center"/>
          </w:tcPr>
          <w:p w14:paraId="15AD145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违规分析</w:t>
            </w:r>
          </w:p>
        </w:tc>
        <w:tc>
          <w:tcPr>
            <w:tcW w:w="429" w:type="pct"/>
            <w:tcBorders>
              <w:top w:val="single" w:color="000000" w:sz="4" w:space="0"/>
              <w:left w:val="single" w:color="000000" w:sz="4" w:space="0"/>
              <w:bottom w:val="single" w:color="000000" w:sz="4" w:space="0"/>
              <w:right w:val="single" w:color="000000" w:sz="4" w:space="0"/>
            </w:tcBorders>
            <w:vAlign w:val="center"/>
          </w:tcPr>
          <w:p w14:paraId="52F08DFC">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医院总体</w:t>
            </w:r>
          </w:p>
        </w:tc>
        <w:tc>
          <w:tcPr>
            <w:tcW w:w="2551" w:type="pct"/>
            <w:tcBorders>
              <w:top w:val="single" w:color="000000" w:sz="4" w:space="0"/>
              <w:left w:val="single" w:color="000000" w:sz="4" w:space="0"/>
              <w:bottom w:val="single" w:color="000000" w:sz="4" w:space="0"/>
              <w:right w:val="single" w:color="000000" w:sz="4" w:space="0"/>
            </w:tcBorders>
            <w:vAlign w:val="center"/>
          </w:tcPr>
          <w:p w14:paraId="4C5E5377">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提供产品支持以下功能：</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1.对全院病案质控的重点核心指标进行统计展示，包括病案总量、违规情况、平均违规及同比变化内容；</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2.对全院病案在不同科室的违规内容按违规类别进行可视化图表展现，包括病案数，违规病案数量，违规病案占比，并支持数据下载；</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3.对全院病案不同违规规则进行图表展现，包括规则类别、规则数量、违反规则数量、平均扣分、违规病案数、违反规则次数等指标，支持数据下载；</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4.对全院病案的违规内容按病案模块与字段进行可视化图表展示，便于医院了解院内病案经常违规的字段情况，支持数据下载。</w:t>
            </w:r>
          </w:p>
        </w:tc>
        <w:tc>
          <w:tcPr>
            <w:tcW w:w="530" w:type="pct"/>
            <w:tcBorders>
              <w:top w:val="single" w:color="000000" w:sz="4" w:space="0"/>
              <w:left w:val="single" w:color="000000" w:sz="4" w:space="0"/>
              <w:bottom w:val="single" w:color="000000" w:sz="4" w:space="0"/>
              <w:right w:val="single" w:color="000000" w:sz="4" w:space="0"/>
            </w:tcBorders>
            <w:vAlign w:val="center"/>
          </w:tcPr>
          <w:p w14:paraId="66F5BDDB">
            <w:pPr>
              <w:widowControl/>
              <w:jc w:val="left"/>
              <w:rPr>
                <w:rFonts w:ascii="宋体" w:hAnsi="宋体" w:eastAsia="宋体" w:cs="宋体"/>
                <w:color w:val="000000"/>
                <w:kern w:val="0"/>
                <w:szCs w:val="21"/>
              </w:rPr>
            </w:pPr>
          </w:p>
        </w:tc>
        <w:tc>
          <w:tcPr>
            <w:tcW w:w="590" w:type="pct"/>
            <w:tcBorders>
              <w:top w:val="single" w:color="000000" w:sz="4" w:space="0"/>
              <w:left w:val="single" w:color="000000" w:sz="4" w:space="0"/>
              <w:bottom w:val="single" w:color="000000" w:sz="4" w:space="0"/>
              <w:right w:val="single" w:color="000000" w:sz="4" w:space="0"/>
            </w:tcBorders>
            <w:vAlign w:val="center"/>
          </w:tcPr>
          <w:p w14:paraId="3694397F">
            <w:pPr>
              <w:widowControl/>
              <w:jc w:val="left"/>
              <w:rPr>
                <w:rFonts w:ascii="宋体" w:hAnsi="宋体" w:eastAsia="宋体" w:cs="宋体"/>
                <w:color w:val="000000"/>
                <w:kern w:val="0"/>
                <w:szCs w:val="21"/>
              </w:rPr>
            </w:pPr>
          </w:p>
        </w:tc>
      </w:tr>
      <w:tr w14:paraId="4F76ECF9">
        <w:tblPrEx>
          <w:tblCellMar>
            <w:top w:w="0" w:type="dxa"/>
            <w:left w:w="108" w:type="dxa"/>
            <w:bottom w:w="0" w:type="dxa"/>
            <w:right w:w="108" w:type="dxa"/>
          </w:tblCellMar>
        </w:tblPrEx>
        <w:trPr>
          <w:trHeight w:val="2400" w:hRule="atLeast"/>
        </w:trPr>
        <w:tc>
          <w:tcPr>
            <w:tcW w:w="233" w:type="pct"/>
            <w:tcBorders>
              <w:top w:val="single" w:color="000000" w:sz="4" w:space="0"/>
              <w:left w:val="single" w:color="000000" w:sz="4" w:space="0"/>
              <w:bottom w:val="single" w:color="000000" w:sz="4" w:space="0"/>
              <w:right w:val="nil"/>
            </w:tcBorders>
            <w:vAlign w:val="center"/>
          </w:tcPr>
          <w:p w14:paraId="6C2E5CA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44</w:t>
            </w:r>
          </w:p>
        </w:tc>
        <w:tc>
          <w:tcPr>
            <w:tcW w:w="294" w:type="pct"/>
            <w:vMerge w:val="continue"/>
            <w:tcBorders>
              <w:top w:val="single" w:color="000000" w:sz="4" w:space="0"/>
              <w:left w:val="single" w:color="000000" w:sz="4" w:space="0"/>
              <w:bottom w:val="single" w:color="000000" w:sz="4" w:space="0"/>
              <w:right w:val="single" w:color="000000" w:sz="4" w:space="0"/>
            </w:tcBorders>
            <w:vAlign w:val="center"/>
          </w:tcPr>
          <w:p w14:paraId="666EEC72">
            <w:pPr>
              <w:widowControl/>
              <w:jc w:val="left"/>
              <w:rPr>
                <w:rFonts w:ascii="宋体" w:hAnsi="宋体" w:eastAsia="宋体" w:cs="宋体"/>
                <w:b/>
                <w:bCs/>
                <w:color w:val="000000"/>
                <w:kern w:val="0"/>
                <w:szCs w:val="21"/>
              </w:rPr>
            </w:pPr>
          </w:p>
        </w:tc>
        <w:tc>
          <w:tcPr>
            <w:tcW w:w="369" w:type="pct"/>
            <w:vMerge w:val="continue"/>
            <w:tcBorders>
              <w:top w:val="single" w:color="000000" w:sz="4" w:space="0"/>
              <w:left w:val="single" w:color="000000" w:sz="4" w:space="0"/>
              <w:bottom w:val="single" w:color="000000" w:sz="4" w:space="0"/>
              <w:right w:val="single" w:color="000000" w:sz="4" w:space="0"/>
            </w:tcBorders>
            <w:vAlign w:val="center"/>
          </w:tcPr>
          <w:p w14:paraId="4445AB54">
            <w:pPr>
              <w:widowControl/>
              <w:jc w:val="left"/>
              <w:rPr>
                <w:rFonts w:ascii="宋体" w:hAnsi="宋体" w:eastAsia="宋体" w:cs="宋体"/>
                <w:color w:val="000000"/>
                <w:kern w:val="0"/>
                <w:szCs w:val="21"/>
              </w:rPr>
            </w:pPr>
          </w:p>
        </w:tc>
        <w:tc>
          <w:tcPr>
            <w:tcW w:w="429" w:type="pct"/>
            <w:tcBorders>
              <w:top w:val="single" w:color="000000" w:sz="4" w:space="0"/>
              <w:left w:val="single" w:color="000000" w:sz="4" w:space="0"/>
              <w:bottom w:val="single" w:color="000000" w:sz="4" w:space="0"/>
              <w:right w:val="single" w:color="000000" w:sz="4" w:space="0"/>
            </w:tcBorders>
            <w:vAlign w:val="center"/>
          </w:tcPr>
          <w:p w14:paraId="6796B9D9">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医院科室</w:t>
            </w:r>
          </w:p>
        </w:tc>
        <w:tc>
          <w:tcPr>
            <w:tcW w:w="2551" w:type="pct"/>
            <w:tcBorders>
              <w:top w:val="single" w:color="000000" w:sz="4" w:space="0"/>
              <w:left w:val="single" w:color="000000" w:sz="4" w:space="0"/>
              <w:bottom w:val="single" w:color="000000" w:sz="4" w:space="0"/>
              <w:right w:val="single" w:color="000000" w:sz="4" w:space="0"/>
            </w:tcBorders>
            <w:vAlign w:val="center"/>
          </w:tcPr>
          <w:p w14:paraId="24B3CAE9">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提供产品支持以下功能：</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1.对各科室病案的重点核心指标进行统计展示，包括病案总量、违规情况、平均违规及同比变化内容；</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2.对各科室病案的违规内容按医师进行可视化图表展现，包括病案数，违规病案数量，违规病案占比，并支持数据下载；</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3.对科室病案不同违规规则进行图表展现，包括规则名称、规则类别、扣分、违规病案数、违规病案占比，支持数据下载；</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4.对各科室病案的违规内容按病案模块与字段进行可视化图表展示，便于科室了解科室内病案经常违规的字段情况，支持数据下载。</w:t>
            </w:r>
          </w:p>
        </w:tc>
        <w:tc>
          <w:tcPr>
            <w:tcW w:w="530" w:type="pct"/>
            <w:tcBorders>
              <w:top w:val="single" w:color="000000" w:sz="4" w:space="0"/>
              <w:left w:val="single" w:color="000000" w:sz="4" w:space="0"/>
              <w:bottom w:val="single" w:color="000000" w:sz="4" w:space="0"/>
              <w:right w:val="single" w:color="000000" w:sz="4" w:space="0"/>
            </w:tcBorders>
            <w:vAlign w:val="center"/>
          </w:tcPr>
          <w:p w14:paraId="5CB6E04F">
            <w:pPr>
              <w:widowControl/>
              <w:jc w:val="left"/>
              <w:rPr>
                <w:rFonts w:ascii="宋体" w:hAnsi="宋体" w:eastAsia="宋体" w:cs="宋体"/>
                <w:color w:val="000000"/>
                <w:kern w:val="0"/>
                <w:szCs w:val="21"/>
              </w:rPr>
            </w:pPr>
          </w:p>
        </w:tc>
        <w:tc>
          <w:tcPr>
            <w:tcW w:w="590" w:type="pct"/>
            <w:tcBorders>
              <w:top w:val="single" w:color="000000" w:sz="4" w:space="0"/>
              <w:left w:val="single" w:color="000000" w:sz="4" w:space="0"/>
              <w:bottom w:val="single" w:color="000000" w:sz="4" w:space="0"/>
              <w:right w:val="single" w:color="000000" w:sz="4" w:space="0"/>
            </w:tcBorders>
            <w:vAlign w:val="center"/>
          </w:tcPr>
          <w:p w14:paraId="1AD5E505">
            <w:pPr>
              <w:widowControl/>
              <w:jc w:val="left"/>
              <w:rPr>
                <w:rFonts w:ascii="宋体" w:hAnsi="宋体" w:eastAsia="宋体" w:cs="宋体"/>
                <w:color w:val="000000"/>
                <w:kern w:val="0"/>
                <w:szCs w:val="21"/>
              </w:rPr>
            </w:pPr>
          </w:p>
        </w:tc>
      </w:tr>
      <w:tr w14:paraId="4D531345">
        <w:tblPrEx>
          <w:tblCellMar>
            <w:top w:w="0" w:type="dxa"/>
            <w:left w:w="108" w:type="dxa"/>
            <w:bottom w:w="0" w:type="dxa"/>
            <w:right w:w="108" w:type="dxa"/>
          </w:tblCellMar>
        </w:tblPrEx>
        <w:trPr>
          <w:trHeight w:val="600" w:hRule="atLeast"/>
        </w:trPr>
        <w:tc>
          <w:tcPr>
            <w:tcW w:w="233" w:type="pct"/>
            <w:tcBorders>
              <w:top w:val="single" w:color="000000" w:sz="4" w:space="0"/>
              <w:left w:val="single" w:color="000000" w:sz="4" w:space="0"/>
              <w:bottom w:val="single" w:color="000000" w:sz="4" w:space="0"/>
              <w:right w:val="nil"/>
            </w:tcBorders>
            <w:vAlign w:val="center"/>
          </w:tcPr>
          <w:p w14:paraId="422C3BE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45</w:t>
            </w:r>
          </w:p>
        </w:tc>
        <w:tc>
          <w:tcPr>
            <w:tcW w:w="294" w:type="pct"/>
            <w:vMerge w:val="continue"/>
            <w:tcBorders>
              <w:top w:val="single" w:color="000000" w:sz="4" w:space="0"/>
              <w:left w:val="single" w:color="000000" w:sz="4" w:space="0"/>
              <w:bottom w:val="single" w:color="000000" w:sz="4" w:space="0"/>
              <w:right w:val="single" w:color="000000" w:sz="4" w:space="0"/>
            </w:tcBorders>
            <w:vAlign w:val="center"/>
          </w:tcPr>
          <w:p w14:paraId="22DC029E">
            <w:pPr>
              <w:widowControl/>
              <w:jc w:val="left"/>
              <w:rPr>
                <w:rFonts w:ascii="宋体" w:hAnsi="宋体" w:eastAsia="宋体" w:cs="宋体"/>
                <w:b/>
                <w:bCs/>
                <w:color w:val="000000"/>
                <w:kern w:val="0"/>
                <w:szCs w:val="21"/>
              </w:rPr>
            </w:pPr>
          </w:p>
        </w:tc>
        <w:tc>
          <w:tcPr>
            <w:tcW w:w="369" w:type="pct"/>
            <w:vMerge w:val="continue"/>
            <w:tcBorders>
              <w:top w:val="single" w:color="000000" w:sz="4" w:space="0"/>
              <w:left w:val="single" w:color="000000" w:sz="4" w:space="0"/>
              <w:bottom w:val="single" w:color="000000" w:sz="4" w:space="0"/>
              <w:right w:val="single" w:color="000000" w:sz="4" w:space="0"/>
            </w:tcBorders>
            <w:vAlign w:val="center"/>
          </w:tcPr>
          <w:p w14:paraId="327C44BB">
            <w:pPr>
              <w:widowControl/>
              <w:jc w:val="left"/>
              <w:rPr>
                <w:rFonts w:ascii="宋体" w:hAnsi="宋体" w:eastAsia="宋体" w:cs="宋体"/>
                <w:color w:val="000000"/>
                <w:kern w:val="0"/>
                <w:szCs w:val="21"/>
              </w:rPr>
            </w:pPr>
          </w:p>
        </w:tc>
        <w:tc>
          <w:tcPr>
            <w:tcW w:w="429" w:type="pct"/>
            <w:tcBorders>
              <w:top w:val="single" w:color="000000" w:sz="4" w:space="0"/>
              <w:left w:val="single" w:color="000000" w:sz="4" w:space="0"/>
              <w:bottom w:val="single" w:color="000000" w:sz="4" w:space="0"/>
              <w:right w:val="single" w:color="000000" w:sz="4" w:space="0"/>
            </w:tcBorders>
            <w:vAlign w:val="center"/>
          </w:tcPr>
          <w:p w14:paraId="68D43C49">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病案入组违规分析</w:t>
            </w:r>
          </w:p>
        </w:tc>
        <w:tc>
          <w:tcPr>
            <w:tcW w:w="2551" w:type="pct"/>
            <w:tcBorders>
              <w:top w:val="single" w:color="000000" w:sz="4" w:space="0"/>
              <w:left w:val="single" w:color="000000" w:sz="4" w:space="0"/>
              <w:bottom w:val="single" w:color="000000" w:sz="4" w:space="0"/>
              <w:right w:val="single" w:color="000000" w:sz="4" w:space="0"/>
            </w:tcBorders>
            <w:vAlign w:val="center"/>
          </w:tcPr>
          <w:p w14:paraId="162D347A">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对不同CN-DRG组下的违规情况进行统计展示，辅助医院探索各类分组下的违规概况，并支持数据跳转；</w:t>
            </w:r>
          </w:p>
        </w:tc>
        <w:tc>
          <w:tcPr>
            <w:tcW w:w="530" w:type="pct"/>
            <w:tcBorders>
              <w:top w:val="single" w:color="000000" w:sz="4" w:space="0"/>
              <w:left w:val="single" w:color="000000" w:sz="4" w:space="0"/>
              <w:bottom w:val="single" w:color="000000" w:sz="4" w:space="0"/>
              <w:right w:val="single" w:color="000000" w:sz="4" w:space="0"/>
            </w:tcBorders>
            <w:vAlign w:val="center"/>
          </w:tcPr>
          <w:p w14:paraId="5EC90F0E">
            <w:pPr>
              <w:widowControl/>
              <w:jc w:val="left"/>
              <w:rPr>
                <w:rFonts w:ascii="宋体" w:hAnsi="宋体" w:eastAsia="宋体" w:cs="宋体"/>
                <w:color w:val="000000"/>
                <w:kern w:val="0"/>
                <w:szCs w:val="21"/>
              </w:rPr>
            </w:pPr>
          </w:p>
        </w:tc>
        <w:tc>
          <w:tcPr>
            <w:tcW w:w="590" w:type="pct"/>
            <w:tcBorders>
              <w:top w:val="single" w:color="000000" w:sz="4" w:space="0"/>
              <w:left w:val="single" w:color="000000" w:sz="4" w:space="0"/>
              <w:bottom w:val="single" w:color="000000" w:sz="4" w:space="0"/>
              <w:right w:val="single" w:color="000000" w:sz="4" w:space="0"/>
            </w:tcBorders>
            <w:vAlign w:val="center"/>
          </w:tcPr>
          <w:p w14:paraId="6672161C">
            <w:pPr>
              <w:widowControl/>
              <w:jc w:val="left"/>
              <w:rPr>
                <w:rFonts w:ascii="宋体" w:hAnsi="宋体" w:eastAsia="宋体" w:cs="宋体"/>
                <w:color w:val="000000"/>
                <w:kern w:val="0"/>
                <w:szCs w:val="21"/>
              </w:rPr>
            </w:pPr>
          </w:p>
        </w:tc>
      </w:tr>
      <w:tr w14:paraId="4DC10C83">
        <w:tblPrEx>
          <w:tblCellMar>
            <w:top w:w="0" w:type="dxa"/>
            <w:left w:w="108" w:type="dxa"/>
            <w:bottom w:w="0" w:type="dxa"/>
            <w:right w:w="108" w:type="dxa"/>
          </w:tblCellMar>
        </w:tblPrEx>
        <w:trPr>
          <w:trHeight w:val="2400" w:hRule="atLeast"/>
        </w:trPr>
        <w:tc>
          <w:tcPr>
            <w:tcW w:w="233" w:type="pct"/>
            <w:tcBorders>
              <w:top w:val="single" w:color="000000" w:sz="4" w:space="0"/>
              <w:left w:val="single" w:color="000000" w:sz="4" w:space="0"/>
              <w:bottom w:val="single" w:color="000000" w:sz="4" w:space="0"/>
              <w:right w:val="nil"/>
            </w:tcBorders>
            <w:vAlign w:val="center"/>
          </w:tcPr>
          <w:p w14:paraId="2E44F21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46</w:t>
            </w:r>
          </w:p>
        </w:tc>
        <w:tc>
          <w:tcPr>
            <w:tcW w:w="294" w:type="pct"/>
            <w:vMerge w:val="continue"/>
            <w:tcBorders>
              <w:top w:val="single" w:color="000000" w:sz="4" w:space="0"/>
              <w:left w:val="single" w:color="000000" w:sz="4" w:space="0"/>
              <w:bottom w:val="single" w:color="000000" w:sz="4" w:space="0"/>
              <w:right w:val="single" w:color="000000" w:sz="4" w:space="0"/>
            </w:tcBorders>
            <w:vAlign w:val="center"/>
          </w:tcPr>
          <w:p w14:paraId="3B600EBB">
            <w:pPr>
              <w:widowControl/>
              <w:jc w:val="left"/>
              <w:rPr>
                <w:rFonts w:ascii="宋体" w:hAnsi="宋体" w:eastAsia="宋体" w:cs="宋体"/>
                <w:b/>
                <w:bCs/>
                <w:color w:val="000000"/>
                <w:kern w:val="0"/>
                <w:szCs w:val="21"/>
              </w:rPr>
            </w:pPr>
          </w:p>
        </w:tc>
        <w:tc>
          <w:tcPr>
            <w:tcW w:w="369" w:type="pct"/>
            <w:tcBorders>
              <w:top w:val="single" w:color="000000" w:sz="4" w:space="0"/>
              <w:left w:val="single" w:color="000000" w:sz="4" w:space="0"/>
              <w:bottom w:val="single" w:color="000000" w:sz="4" w:space="0"/>
              <w:right w:val="single" w:color="000000" w:sz="4" w:space="0"/>
            </w:tcBorders>
            <w:vAlign w:val="center"/>
          </w:tcPr>
          <w:p w14:paraId="325D4A3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指标分析</w:t>
            </w:r>
          </w:p>
        </w:tc>
        <w:tc>
          <w:tcPr>
            <w:tcW w:w="429" w:type="pct"/>
            <w:tcBorders>
              <w:top w:val="single" w:color="000000" w:sz="4" w:space="0"/>
              <w:left w:val="single" w:color="000000" w:sz="4" w:space="0"/>
              <w:bottom w:val="single" w:color="000000" w:sz="4" w:space="0"/>
              <w:right w:val="single" w:color="000000" w:sz="4" w:space="0"/>
            </w:tcBorders>
            <w:vAlign w:val="center"/>
          </w:tcPr>
          <w:p w14:paraId="56FB43AD">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病案指标分析</w:t>
            </w:r>
          </w:p>
        </w:tc>
        <w:tc>
          <w:tcPr>
            <w:tcW w:w="2551" w:type="pct"/>
            <w:tcBorders>
              <w:top w:val="single" w:color="000000" w:sz="4" w:space="0"/>
              <w:left w:val="single" w:color="000000" w:sz="4" w:space="0"/>
              <w:bottom w:val="single" w:color="000000" w:sz="4" w:space="0"/>
              <w:right w:val="single" w:color="000000" w:sz="4" w:space="0"/>
            </w:tcBorders>
            <w:vAlign w:val="center"/>
          </w:tcPr>
          <w:p w14:paraId="2D159D28">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提供产品支持以下功能：</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1.对医院、科室、主诊医师下的病案总量、入组率、病组数、CMI、费用消耗指数、均费、平均住院天数、低风险组死亡率、日间手术占比等指标进行统计展示；</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2.对医院、科室、主诊医师下的病案首页进行手术情况统计图表展示，包括手术病例占比、三四级手术占比、微创手术占比、并发症发生率、I类切口手术部位感染率、低风险病组死亡率；</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3.展示所选时间范围内各级别手术台次数以及对应主刀医生的术前术后天数等指标统计情况；</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4.展示所选时间范围内按病案费用结构划分的费用占比可视化图表，支持科室筛选查询；</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5.展示所选时间范围内医院单病种开展情况</w:t>
            </w:r>
          </w:p>
        </w:tc>
        <w:tc>
          <w:tcPr>
            <w:tcW w:w="530" w:type="pct"/>
            <w:tcBorders>
              <w:top w:val="single" w:color="000000" w:sz="4" w:space="0"/>
              <w:left w:val="single" w:color="000000" w:sz="4" w:space="0"/>
              <w:bottom w:val="single" w:color="000000" w:sz="4" w:space="0"/>
              <w:right w:val="single" w:color="000000" w:sz="4" w:space="0"/>
            </w:tcBorders>
            <w:vAlign w:val="center"/>
          </w:tcPr>
          <w:p w14:paraId="3D5A221D">
            <w:pPr>
              <w:widowControl/>
              <w:jc w:val="left"/>
              <w:rPr>
                <w:rFonts w:ascii="宋体" w:hAnsi="宋体" w:eastAsia="宋体" w:cs="宋体"/>
                <w:color w:val="000000"/>
                <w:kern w:val="0"/>
                <w:szCs w:val="21"/>
              </w:rPr>
            </w:pPr>
          </w:p>
        </w:tc>
        <w:tc>
          <w:tcPr>
            <w:tcW w:w="590" w:type="pct"/>
            <w:tcBorders>
              <w:top w:val="single" w:color="000000" w:sz="4" w:space="0"/>
              <w:left w:val="single" w:color="000000" w:sz="4" w:space="0"/>
              <w:bottom w:val="single" w:color="000000" w:sz="4" w:space="0"/>
              <w:right w:val="single" w:color="000000" w:sz="4" w:space="0"/>
            </w:tcBorders>
            <w:vAlign w:val="center"/>
          </w:tcPr>
          <w:p w14:paraId="51682494">
            <w:pPr>
              <w:widowControl/>
              <w:jc w:val="left"/>
              <w:rPr>
                <w:rFonts w:ascii="宋体" w:hAnsi="宋体" w:eastAsia="宋体" w:cs="宋体"/>
                <w:color w:val="000000"/>
                <w:kern w:val="0"/>
                <w:szCs w:val="21"/>
              </w:rPr>
            </w:pPr>
          </w:p>
        </w:tc>
      </w:tr>
      <w:tr w14:paraId="5504B261">
        <w:tblPrEx>
          <w:tblCellMar>
            <w:top w:w="0" w:type="dxa"/>
            <w:left w:w="108" w:type="dxa"/>
            <w:bottom w:w="0" w:type="dxa"/>
            <w:right w:w="108" w:type="dxa"/>
          </w:tblCellMar>
        </w:tblPrEx>
        <w:trPr>
          <w:trHeight w:val="1800" w:hRule="atLeast"/>
        </w:trPr>
        <w:tc>
          <w:tcPr>
            <w:tcW w:w="233" w:type="pct"/>
            <w:tcBorders>
              <w:top w:val="single" w:color="000000" w:sz="4" w:space="0"/>
              <w:left w:val="single" w:color="000000" w:sz="4" w:space="0"/>
              <w:bottom w:val="single" w:color="000000" w:sz="4" w:space="0"/>
              <w:right w:val="nil"/>
            </w:tcBorders>
            <w:vAlign w:val="center"/>
          </w:tcPr>
          <w:p w14:paraId="6402FA1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47</w:t>
            </w:r>
          </w:p>
        </w:tc>
        <w:tc>
          <w:tcPr>
            <w:tcW w:w="294" w:type="pct"/>
            <w:vMerge w:val="continue"/>
            <w:tcBorders>
              <w:top w:val="single" w:color="000000" w:sz="4" w:space="0"/>
              <w:left w:val="single" w:color="000000" w:sz="4" w:space="0"/>
              <w:bottom w:val="single" w:color="000000" w:sz="4" w:space="0"/>
              <w:right w:val="single" w:color="000000" w:sz="4" w:space="0"/>
            </w:tcBorders>
            <w:vAlign w:val="center"/>
          </w:tcPr>
          <w:p w14:paraId="1F0469BA">
            <w:pPr>
              <w:widowControl/>
              <w:jc w:val="left"/>
              <w:rPr>
                <w:rFonts w:ascii="宋体" w:hAnsi="宋体" w:eastAsia="宋体" w:cs="宋体"/>
                <w:b/>
                <w:bCs/>
                <w:color w:val="000000"/>
                <w:kern w:val="0"/>
                <w:szCs w:val="21"/>
              </w:rPr>
            </w:pPr>
          </w:p>
        </w:tc>
        <w:tc>
          <w:tcPr>
            <w:tcW w:w="369" w:type="pct"/>
            <w:tcBorders>
              <w:top w:val="single" w:color="000000" w:sz="4" w:space="0"/>
              <w:left w:val="single" w:color="000000" w:sz="4" w:space="0"/>
              <w:bottom w:val="single" w:color="000000" w:sz="4" w:space="0"/>
              <w:right w:val="single" w:color="000000" w:sz="4" w:space="0"/>
            </w:tcBorders>
            <w:vAlign w:val="center"/>
          </w:tcPr>
          <w:p w14:paraId="08FBAFE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数据查询</w:t>
            </w:r>
          </w:p>
        </w:tc>
        <w:tc>
          <w:tcPr>
            <w:tcW w:w="429" w:type="pct"/>
            <w:tcBorders>
              <w:top w:val="single" w:color="000000" w:sz="4" w:space="0"/>
              <w:left w:val="single" w:color="000000" w:sz="4" w:space="0"/>
              <w:bottom w:val="single" w:color="000000" w:sz="4" w:space="0"/>
              <w:right w:val="nil"/>
            </w:tcBorders>
            <w:vAlign w:val="center"/>
          </w:tcPr>
          <w:p w14:paraId="1A3AC42A">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病案数据查询</w:t>
            </w:r>
          </w:p>
        </w:tc>
        <w:tc>
          <w:tcPr>
            <w:tcW w:w="2551" w:type="pct"/>
            <w:tcBorders>
              <w:top w:val="single" w:color="000000" w:sz="4" w:space="0"/>
              <w:left w:val="single" w:color="000000" w:sz="4" w:space="0"/>
              <w:bottom w:val="single" w:color="000000" w:sz="4" w:space="0"/>
              <w:right w:val="single" w:color="000000" w:sz="4" w:space="0"/>
            </w:tcBorders>
            <w:vAlign w:val="center"/>
          </w:tcPr>
          <w:p w14:paraId="60501B21">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提供产品支持：</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1.查询某个时间范围或各种筛选条件下的病案数据查询，支持单条病案详情查询，展示病案详情以及分组、质控、评分结果；支持其他菜单下钻至此的筛选查询；</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2.支持显示字段自定义；</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3.支持数据导出下载；</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4.支持从病案列表进入详情界面后，点击上一页、下一页功能</w:t>
            </w:r>
          </w:p>
        </w:tc>
        <w:tc>
          <w:tcPr>
            <w:tcW w:w="530" w:type="pct"/>
            <w:tcBorders>
              <w:top w:val="single" w:color="000000" w:sz="4" w:space="0"/>
              <w:left w:val="single" w:color="000000" w:sz="4" w:space="0"/>
              <w:bottom w:val="single" w:color="000000" w:sz="4" w:space="0"/>
              <w:right w:val="single" w:color="000000" w:sz="4" w:space="0"/>
            </w:tcBorders>
            <w:vAlign w:val="center"/>
          </w:tcPr>
          <w:p w14:paraId="68A26267">
            <w:pPr>
              <w:widowControl/>
              <w:jc w:val="left"/>
              <w:rPr>
                <w:rFonts w:ascii="宋体" w:hAnsi="宋体" w:eastAsia="宋体" w:cs="宋体"/>
                <w:color w:val="000000"/>
                <w:kern w:val="0"/>
                <w:szCs w:val="21"/>
              </w:rPr>
            </w:pPr>
          </w:p>
        </w:tc>
        <w:tc>
          <w:tcPr>
            <w:tcW w:w="590" w:type="pct"/>
            <w:tcBorders>
              <w:top w:val="single" w:color="000000" w:sz="4" w:space="0"/>
              <w:left w:val="single" w:color="000000" w:sz="4" w:space="0"/>
              <w:bottom w:val="single" w:color="000000" w:sz="4" w:space="0"/>
              <w:right w:val="single" w:color="000000" w:sz="4" w:space="0"/>
            </w:tcBorders>
            <w:vAlign w:val="center"/>
          </w:tcPr>
          <w:p w14:paraId="6673A497">
            <w:pPr>
              <w:widowControl/>
              <w:jc w:val="left"/>
              <w:rPr>
                <w:rFonts w:ascii="宋体" w:hAnsi="宋体" w:eastAsia="宋体" w:cs="宋体"/>
                <w:color w:val="000000"/>
                <w:kern w:val="0"/>
                <w:szCs w:val="21"/>
              </w:rPr>
            </w:pPr>
          </w:p>
        </w:tc>
      </w:tr>
      <w:tr w14:paraId="67EC0D94">
        <w:tblPrEx>
          <w:tblCellMar>
            <w:top w:w="0" w:type="dxa"/>
            <w:left w:w="108" w:type="dxa"/>
            <w:bottom w:w="0" w:type="dxa"/>
            <w:right w:w="108" w:type="dxa"/>
          </w:tblCellMar>
        </w:tblPrEx>
        <w:trPr>
          <w:trHeight w:val="600" w:hRule="atLeast"/>
        </w:trPr>
        <w:tc>
          <w:tcPr>
            <w:tcW w:w="233" w:type="pct"/>
            <w:tcBorders>
              <w:top w:val="single" w:color="000000" w:sz="4" w:space="0"/>
              <w:left w:val="single" w:color="000000" w:sz="4" w:space="0"/>
              <w:bottom w:val="single" w:color="000000" w:sz="4" w:space="0"/>
              <w:right w:val="nil"/>
            </w:tcBorders>
            <w:vAlign w:val="center"/>
          </w:tcPr>
          <w:p w14:paraId="04F0DB1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48</w:t>
            </w:r>
          </w:p>
        </w:tc>
        <w:tc>
          <w:tcPr>
            <w:tcW w:w="294" w:type="pct"/>
            <w:vMerge w:val="continue"/>
            <w:tcBorders>
              <w:top w:val="single" w:color="000000" w:sz="4" w:space="0"/>
              <w:left w:val="single" w:color="000000" w:sz="4" w:space="0"/>
              <w:bottom w:val="single" w:color="000000" w:sz="4" w:space="0"/>
              <w:right w:val="single" w:color="000000" w:sz="4" w:space="0"/>
            </w:tcBorders>
            <w:vAlign w:val="center"/>
          </w:tcPr>
          <w:p w14:paraId="2CEA564B">
            <w:pPr>
              <w:widowControl/>
              <w:jc w:val="left"/>
              <w:rPr>
                <w:rFonts w:ascii="宋体" w:hAnsi="宋体" w:eastAsia="宋体" w:cs="宋体"/>
                <w:b/>
                <w:bCs/>
                <w:color w:val="000000"/>
                <w:kern w:val="0"/>
                <w:szCs w:val="21"/>
              </w:rPr>
            </w:pPr>
          </w:p>
        </w:tc>
        <w:tc>
          <w:tcPr>
            <w:tcW w:w="369" w:type="pct"/>
            <w:tcBorders>
              <w:top w:val="single" w:color="000000" w:sz="4" w:space="0"/>
              <w:left w:val="single" w:color="000000" w:sz="4" w:space="0"/>
              <w:bottom w:val="single" w:color="000000" w:sz="4" w:space="0"/>
              <w:right w:val="single" w:color="000000" w:sz="4" w:space="0"/>
            </w:tcBorders>
            <w:vAlign w:val="center"/>
          </w:tcPr>
          <w:p w14:paraId="4A1720E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数据上传</w:t>
            </w:r>
          </w:p>
        </w:tc>
        <w:tc>
          <w:tcPr>
            <w:tcW w:w="429" w:type="pct"/>
            <w:tcBorders>
              <w:top w:val="single" w:color="000000" w:sz="4" w:space="0"/>
              <w:left w:val="single" w:color="000000" w:sz="4" w:space="0"/>
              <w:bottom w:val="single" w:color="000000" w:sz="4" w:space="0"/>
              <w:right w:val="nil"/>
            </w:tcBorders>
            <w:vAlign w:val="center"/>
          </w:tcPr>
          <w:p w14:paraId="007C3916">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病案数据上传</w:t>
            </w:r>
          </w:p>
        </w:tc>
        <w:tc>
          <w:tcPr>
            <w:tcW w:w="2551" w:type="pct"/>
            <w:tcBorders>
              <w:top w:val="single" w:color="000000" w:sz="4" w:space="0"/>
              <w:left w:val="single" w:color="000000" w:sz="4" w:space="0"/>
              <w:bottom w:val="single" w:color="000000" w:sz="4" w:space="0"/>
              <w:right w:val="single" w:color="000000" w:sz="4" w:space="0"/>
            </w:tcBorders>
            <w:vAlign w:val="center"/>
          </w:tcPr>
          <w:p w14:paraId="6A9BE9C0">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提供产品结合医院审核流，查询可上传HQMS的病案数据列表（支持多条件筛选查询），支持数据下载，支持一键跳转HQMS上传网址</w:t>
            </w:r>
          </w:p>
        </w:tc>
        <w:tc>
          <w:tcPr>
            <w:tcW w:w="530" w:type="pct"/>
            <w:tcBorders>
              <w:top w:val="single" w:color="000000" w:sz="4" w:space="0"/>
              <w:left w:val="single" w:color="000000" w:sz="4" w:space="0"/>
              <w:bottom w:val="single" w:color="000000" w:sz="4" w:space="0"/>
              <w:right w:val="single" w:color="000000" w:sz="4" w:space="0"/>
            </w:tcBorders>
            <w:vAlign w:val="center"/>
          </w:tcPr>
          <w:p w14:paraId="229812B8">
            <w:pPr>
              <w:widowControl/>
              <w:jc w:val="left"/>
              <w:rPr>
                <w:rFonts w:ascii="宋体" w:hAnsi="宋体" w:eastAsia="宋体" w:cs="宋体"/>
                <w:color w:val="000000"/>
                <w:kern w:val="0"/>
                <w:szCs w:val="21"/>
              </w:rPr>
            </w:pPr>
          </w:p>
        </w:tc>
        <w:tc>
          <w:tcPr>
            <w:tcW w:w="590" w:type="pct"/>
            <w:tcBorders>
              <w:top w:val="single" w:color="000000" w:sz="4" w:space="0"/>
              <w:left w:val="single" w:color="000000" w:sz="4" w:space="0"/>
              <w:bottom w:val="single" w:color="000000" w:sz="4" w:space="0"/>
              <w:right w:val="single" w:color="000000" w:sz="4" w:space="0"/>
            </w:tcBorders>
            <w:vAlign w:val="center"/>
          </w:tcPr>
          <w:p w14:paraId="0275DC37">
            <w:pPr>
              <w:widowControl/>
              <w:jc w:val="left"/>
              <w:rPr>
                <w:rFonts w:ascii="宋体" w:hAnsi="宋体" w:eastAsia="宋体" w:cs="宋体"/>
                <w:color w:val="000000"/>
                <w:kern w:val="0"/>
                <w:szCs w:val="21"/>
              </w:rPr>
            </w:pPr>
          </w:p>
        </w:tc>
      </w:tr>
      <w:tr w14:paraId="14D308C4">
        <w:tblPrEx>
          <w:tblCellMar>
            <w:top w:w="0" w:type="dxa"/>
            <w:left w:w="108" w:type="dxa"/>
            <w:bottom w:w="0" w:type="dxa"/>
            <w:right w:w="108" w:type="dxa"/>
          </w:tblCellMar>
        </w:tblPrEx>
        <w:trPr>
          <w:trHeight w:val="2700" w:hRule="atLeast"/>
        </w:trPr>
        <w:tc>
          <w:tcPr>
            <w:tcW w:w="233" w:type="pct"/>
            <w:tcBorders>
              <w:top w:val="single" w:color="000000" w:sz="4" w:space="0"/>
              <w:left w:val="single" w:color="000000" w:sz="4" w:space="0"/>
              <w:bottom w:val="single" w:color="000000" w:sz="4" w:space="0"/>
              <w:right w:val="nil"/>
            </w:tcBorders>
            <w:vAlign w:val="center"/>
          </w:tcPr>
          <w:p w14:paraId="2A68B75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49</w:t>
            </w:r>
          </w:p>
        </w:tc>
        <w:tc>
          <w:tcPr>
            <w:tcW w:w="294" w:type="pct"/>
            <w:vMerge w:val="restart"/>
            <w:tcBorders>
              <w:top w:val="single" w:color="000000" w:sz="4" w:space="0"/>
              <w:left w:val="single" w:color="000000" w:sz="4" w:space="0"/>
              <w:bottom w:val="nil"/>
              <w:right w:val="single" w:color="000000" w:sz="4" w:space="0"/>
            </w:tcBorders>
            <w:vAlign w:val="center"/>
          </w:tcPr>
          <w:p w14:paraId="7EDEB628">
            <w:pPr>
              <w:widowControl/>
              <w:jc w:val="center"/>
              <w:rPr>
                <w:rFonts w:ascii="宋体" w:hAnsi="宋体" w:eastAsia="宋体" w:cs="宋体"/>
                <w:b/>
                <w:bCs/>
                <w:color w:val="000000"/>
                <w:kern w:val="0"/>
                <w:szCs w:val="21"/>
              </w:rPr>
            </w:pPr>
            <w:r>
              <w:rPr>
                <w:rFonts w:hint="eastAsia" w:ascii="宋体" w:hAnsi="宋体" w:eastAsia="宋体" w:cs="宋体"/>
                <w:b/>
                <w:bCs/>
                <w:color w:val="000000"/>
                <w:kern w:val="0"/>
                <w:szCs w:val="21"/>
              </w:rPr>
              <w:t>运营分析系统</w:t>
            </w:r>
          </w:p>
        </w:tc>
        <w:tc>
          <w:tcPr>
            <w:tcW w:w="369" w:type="pct"/>
            <w:tcBorders>
              <w:top w:val="single" w:color="000000" w:sz="4" w:space="0"/>
              <w:left w:val="single" w:color="000000" w:sz="4" w:space="0"/>
              <w:bottom w:val="single" w:color="000000" w:sz="4" w:space="0"/>
              <w:right w:val="single" w:color="000000" w:sz="4" w:space="0"/>
            </w:tcBorders>
            <w:vAlign w:val="center"/>
          </w:tcPr>
          <w:p w14:paraId="4F30669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系统首页</w:t>
            </w:r>
          </w:p>
        </w:tc>
        <w:tc>
          <w:tcPr>
            <w:tcW w:w="429" w:type="pct"/>
            <w:tcBorders>
              <w:top w:val="single" w:color="000000" w:sz="4" w:space="0"/>
              <w:left w:val="single" w:color="000000" w:sz="4" w:space="0"/>
              <w:bottom w:val="single" w:color="000000" w:sz="4" w:space="0"/>
              <w:right w:val="single" w:color="000000" w:sz="4" w:space="0"/>
            </w:tcBorders>
            <w:vAlign w:val="center"/>
          </w:tcPr>
          <w:p w14:paraId="4D41E7DF">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系统首页</w:t>
            </w:r>
          </w:p>
        </w:tc>
        <w:tc>
          <w:tcPr>
            <w:tcW w:w="2551" w:type="pct"/>
            <w:tcBorders>
              <w:top w:val="single" w:color="000000" w:sz="4" w:space="0"/>
              <w:left w:val="single" w:color="000000" w:sz="4" w:space="0"/>
              <w:bottom w:val="single" w:color="000000" w:sz="4" w:space="0"/>
              <w:right w:val="single" w:color="000000" w:sz="4" w:space="0"/>
            </w:tcBorders>
            <w:vAlign w:val="center"/>
          </w:tcPr>
          <w:p w14:paraId="6BFC2B16">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提供产品支持：</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1.支持院长驾驶舱，相关权限账号可以查看本院所有数据情况，科室账号仅能看本科室数据（以下权限均需满足此要求）。可以查看的内容包括不限于入组情况整体监控、医院整体和各科室盈亏情况、全院DIP分值趋势情况、全院及科室质量监控、结算情况监控、诊疗情况监控、监管评价指标概览、盈亏top5病组定位、病例类型及费用结构监控，指标如入组率、盈亏值、CMI、时间消耗指数、费用消耗指数、取药住院病例数、分解住院病例数等；</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2.支持医院DIP结算和非DIP结算的筛选展示；</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3.重点指标支持下钻到病例明细；</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4.支持统筹区、险种类型、患者医保身份等不同筛选条件的分析。</w:t>
            </w:r>
          </w:p>
        </w:tc>
        <w:tc>
          <w:tcPr>
            <w:tcW w:w="530" w:type="pct"/>
            <w:tcBorders>
              <w:top w:val="single" w:color="000000" w:sz="4" w:space="0"/>
              <w:left w:val="single" w:color="000000" w:sz="4" w:space="0"/>
              <w:bottom w:val="single" w:color="000000" w:sz="4" w:space="0"/>
              <w:right w:val="single" w:color="000000" w:sz="4" w:space="0"/>
            </w:tcBorders>
            <w:vAlign w:val="center"/>
          </w:tcPr>
          <w:p w14:paraId="70DA54DD">
            <w:pPr>
              <w:widowControl/>
              <w:jc w:val="left"/>
              <w:rPr>
                <w:rFonts w:ascii="宋体" w:hAnsi="宋体" w:eastAsia="宋体" w:cs="宋体"/>
                <w:color w:val="000000"/>
                <w:kern w:val="0"/>
                <w:szCs w:val="21"/>
              </w:rPr>
            </w:pPr>
          </w:p>
        </w:tc>
        <w:tc>
          <w:tcPr>
            <w:tcW w:w="590" w:type="pct"/>
            <w:tcBorders>
              <w:top w:val="single" w:color="000000" w:sz="4" w:space="0"/>
              <w:left w:val="single" w:color="000000" w:sz="4" w:space="0"/>
              <w:bottom w:val="single" w:color="000000" w:sz="4" w:space="0"/>
              <w:right w:val="single" w:color="000000" w:sz="4" w:space="0"/>
            </w:tcBorders>
            <w:vAlign w:val="center"/>
          </w:tcPr>
          <w:p w14:paraId="1A036072">
            <w:pPr>
              <w:widowControl/>
              <w:jc w:val="left"/>
              <w:rPr>
                <w:rFonts w:ascii="宋体" w:hAnsi="宋体" w:eastAsia="宋体" w:cs="宋体"/>
                <w:color w:val="000000"/>
                <w:kern w:val="0"/>
                <w:szCs w:val="21"/>
              </w:rPr>
            </w:pPr>
          </w:p>
        </w:tc>
      </w:tr>
      <w:tr w14:paraId="676FA843">
        <w:tblPrEx>
          <w:tblCellMar>
            <w:top w:w="0" w:type="dxa"/>
            <w:left w:w="108" w:type="dxa"/>
            <w:bottom w:w="0" w:type="dxa"/>
            <w:right w:w="108" w:type="dxa"/>
          </w:tblCellMar>
        </w:tblPrEx>
        <w:trPr>
          <w:trHeight w:val="3900" w:hRule="atLeast"/>
        </w:trPr>
        <w:tc>
          <w:tcPr>
            <w:tcW w:w="233" w:type="pct"/>
            <w:tcBorders>
              <w:top w:val="single" w:color="000000" w:sz="4" w:space="0"/>
              <w:left w:val="single" w:color="000000" w:sz="4" w:space="0"/>
              <w:bottom w:val="single" w:color="000000" w:sz="4" w:space="0"/>
              <w:right w:val="nil"/>
            </w:tcBorders>
            <w:vAlign w:val="center"/>
          </w:tcPr>
          <w:p w14:paraId="62A554F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50</w:t>
            </w:r>
          </w:p>
        </w:tc>
        <w:tc>
          <w:tcPr>
            <w:tcW w:w="294" w:type="pct"/>
            <w:vMerge w:val="continue"/>
            <w:tcBorders>
              <w:top w:val="single" w:color="000000" w:sz="4" w:space="0"/>
              <w:left w:val="single" w:color="000000" w:sz="4" w:space="0"/>
              <w:bottom w:val="nil"/>
              <w:right w:val="single" w:color="000000" w:sz="4" w:space="0"/>
            </w:tcBorders>
            <w:vAlign w:val="center"/>
          </w:tcPr>
          <w:p w14:paraId="7810BDDA">
            <w:pPr>
              <w:widowControl/>
              <w:jc w:val="left"/>
              <w:rPr>
                <w:rFonts w:ascii="宋体" w:hAnsi="宋体" w:eastAsia="宋体" w:cs="宋体"/>
                <w:b/>
                <w:bCs/>
                <w:color w:val="000000"/>
                <w:kern w:val="0"/>
                <w:szCs w:val="21"/>
              </w:rPr>
            </w:pPr>
          </w:p>
        </w:tc>
        <w:tc>
          <w:tcPr>
            <w:tcW w:w="369" w:type="pct"/>
            <w:vMerge w:val="restart"/>
            <w:tcBorders>
              <w:top w:val="single" w:color="000000" w:sz="4" w:space="0"/>
              <w:left w:val="single" w:color="000000" w:sz="4" w:space="0"/>
              <w:bottom w:val="single" w:color="000000" w:sz="4" w:space="0"/>
              <w:right w:val="single" w:color="000000" w:sz="4" w:space="0"/>
            </w:tcBorders>
            <w:vAlign w:val="center"/>
          </w:tcPr>
          <w:p w14:paraId="25750C4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质量评价</w:t>
            </w:r>
          </w:p>
        </w:tc>
        <w:tc>
          <w:tcPr>
            <w:tcW w:w="429" w:type="pct"/>
            <w:tcBorders>
              <w:top w:val="single" w:color="000000" w:sz="4" w:space="0"/>
              <w:left w:val="single" w:color="000000" w:sz="4" w:space="0"/>
              <w:bottom w:val="single" w:color="000000" w:sz="4" w:space="0"/>
              <w:right w:val="single" w:color="000000" w:sz="4" w:space="0"/>
            </w:tcBorders>
            <w:vAlign w:val="center"/>
          </w:tcPr>
          <w:p w14:paraId="183D0361">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医院总体</w:t>
            </w:r>
          </w:p>
        </w:tc>
        <w:tc>
          <w:tcPr>
            <w:tcW w:w="2551" w:type="pct"/>
            <w:tcBorders>
              <w:top w:val="single" w:color="000000" w:sz="4" w:space="0"/>
              <w:left w:val="single" w:color="000000" w:sz="4" w:space="0"/>
              <w:bottom w:val="single" w:color="000000" w:sz="4" w:space="0"/>
              <w:right w:val="single" w:color="000000" w:sz="4" w:space="0"/>
            </w:tcBorders>
            <w:vAlign w:val="center"/>
          </w:tcPr>
          <w:p w14:paraId="0CCFEDCB">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提供产品支持各项医院服务质量评价指标，区分不同维度进行统计，根据账号的数据权限展示对应结果；质量评价指标类别包含不同资源消耗程度下的病例分布、DIP评价指标、病例类型分布、医保账户支付构成、费用结构及费用占比等，指标包括不限于核心与综合病种数、分值区间病例数、高/低/正常倍率病例占比、统筹基金支出额、CMI、时间消耗指数、费用消耗指数、西药费/西药费占比/环比；支持对服务能力和服务效率进行定性分析；对重要指标进行可视化展示，如DIP病种数、CMI、时间消耗指数、费用消耗指数。</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支持以下功能和操作：</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1.支持医院DIP结算、非DIP结算病例的质量评价指标分析；</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2.支持下钻到科室、主诊医师、病例明细层级的分析；</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3.支持报表导出，并能自定义要分析的指标；</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4.支持重要分析维度的可视化展示：分值趋势及其同比环比、服务能力、服务效率及其同比环比、医疗服务行为安全性、风险趋势等分析，并能定位低风险病组及风险病例；</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5.支持统筹区、险种类型、患者医保身份等不同筛选条件的分析。</w:t>
            </w:r>
          </w:p>
        </w:tc>
        <w:tc>
          <w:tcPr>
            <w:tcW w:w="530" w:type="pct"/>
            <w:tcBorders>
              <w:top w:val="single" w:color="000000" w:sz="4" w:space="0"/>
              <w:left w:val="single" w:color="000000" w:sz="4" w:space="0"/>
              <w:bottom w:val="single" w:color="000000" w:sz="4" w:space="0"/>
              <w:right w:val="single" w:color="000000" w:sz="4" w:space="0"/>
            </w:tcBorders>
            <w:vAlign w:val="center"/>
          </w:tcPr>
          <w:p w14:paraId="11E269E4">
            <w:pPr>
              <w:widowControl/>
              <w:jc w:val="left"/>
              <w:rPr>
                <w:rFonts w:ascii="宋体" w:hAnsi="宋体" w:eastAsia="宋体" w:cs="宋体"/>
                <w:color w:val="000000"/>
                <w:kern w:val="0"/>
                <w:szCs w:val="21"/>
              </w:rPr>
            </w:pPr>
          </w:p>
        </w:tc>
        <w:tc>
          <w:tcPr>
            <w:tcW w:w="590" w:type="pct"/>
            <w:tcBorders>
              <w:top w:val="single" w:color="000000" w:sz="4" w:space="0"/>
              <w:left w:val="single" w:color="000000" w:sz="4" w:space="0"/>
              <w:bottom w:val="single" w:color="000000" w:sz="4" w:space="0"/>
              <w:right w:val="single" w:color="000000" w:sz="4" w:space="0"/>
            </w:tcBorders>
            <w:vAlign w:val="center"/>
          </w:tcPr>
          <w:p w14:paraId="42FE4340">
            <w:pPr>
              <w:widowControl/>
              <w:jc w:val="left"/>
              <w:rPr>
                <w:rFonts w:ascii="宋体" w:hAnsi="宋体" w:eastAsia="宋体" w:cs="宋体"/>
                <w:color w:val="000000"/>
                <w:kern w:val="0"/>
                <w:szCs w:val="21"/>
              </w:rPr>
            </w:pPr>
          </w:p>
        </w:tc>
      </w:tr>
      <w:tr w14:paraId="029D44E5">
        <w:tblPrEx>
          <w:tblCellMar>
            <w:top w:w="0" w:type="dxa"/>
            <w:left w:w="108" w:type="dxa"/>
            <w:bottom w:w="0" w:type="dxa"/>
            <w:right w:w="108" w:type="dxa"/>
          </w:tblCellMar>
        </w:tblPrEx>
        <w:trPr>
          <w:trHeight w:val="3000" w:hRule="atLeast"/>
        </w:trPr>
        <w:tc>
          <w:tcPr>
            <w:tcW w:w="233" w:type="pct"/>
            <w:tcBorders>
              <w:top w:val="single" w:color="000000" w:sz="4" w:space="0"/>
              <w:left w:val="single" w:color="000000" w:sz="4" w:space="0"/>
              <w:bottom w:val="single" w:color="000000" w:sz="4" w:space="0"/>
              <w:right w:val="nil"/>
            </w:tcBorders>
            <w:vAlign w:val="center"/>
          </w:tcPr>
          <w:p w14:paraId="0C2E8F2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51</w:t>
            </w:r>
          </w:p>
        </w:tc>
        <w:tc>
          <w:tcPr>
            <w:tcW w:w="294" w:type="pct"/>
            <w:vMerge w:val="continue"/>
            <w:tcBorders>
              <w:top w:val="single" w:color="000000" w:sz="4" w:space="0"/>
              <w:left w:val="single" w:color="000000" w:sz="4" w:space="0"/>
              <w:bottom w:val="nil"/>
              <w:right w:val="single" w:color="000000" w:sz="4" w:space="0"/>
            </w:tcBorders>
            <w:vAlign w:val="center"/>
          </w:tcPr>
          <w:p w14:paraId="73BEE290">
            <w:pPr>
              <w:widowControl/>
              <w:jc w:val="left"/>
              <w:rPr>
                <w:rFonts w:ascii="宋体" w:hAnsi="宋体" w:eastAsia="宋体" w:cs="宋体"/>
                <w:b/>
                <w:bCs/>
                <w:color w:val="000000"/>
                <w:kern w:val="0"/>
                <w:szCs w:val="21"/>
              </w:rPr>
            </w:pPr>
          </w:p>
        </w:tc>
        <w:tc>
          <w:tcPr>
            <w:tcW w:w="369" w:type="pct"/>
            <w:vMerge w:val="continue"/>
            <w:tcBorders>
              <w:top w:val="single" w:color="000000" w:sz="4" w:space="0"/>
              <w:left w:val="single" w:color="000000" w:sz="4" w:space="0"/>
              <w:bottom w:val="single" w:color="000000" w:sz="4" w:space="0"/>
              <w:right w:val="single" w:color="000000" w:sz="4" w:space="0"/>
            </w:tcBorders>
            <w:vAlign w:val="center"/>
          </w:tcPr>
          <w:p w14:paraId="2F152F6C">
            <w:pPr>
              <w:widowControl/>
              <w:jc w:val="left"/>
              <w:rPr>
                <w:rFonts w:ascii="宋体" w:hAnsi="宋体" w:eastAsia="宋体" w:cs="宋体"/>
                <w:color w:val="000000"/>
                <w:kern w:val="0"/>
                <w:szCs w:val="21"/>
              </w:rPr>
            </w:pPr>
          </w:p>
        </w:tc>
        <w:tc>
          <w:tcPr>
            <w:tcW w:w="429" w:type="pct"/>
            <w:tcBorders>
              <w:top w:val="single" w:color="000000" w:sz="4" w:space="0"/>
              <w:left w:val="single" w:color="000000" w:sz="4" w:space="0"/>
              <w:bottom w:val="single" w:color="000000" w:sz="4" w:space="0"/>
              <w:right w:val="single" w:color="000000" w:sz="4" w:space="0"/>
            </w:tcBorders>
            <w:vAlign w:val="center"/>
          </w:tcPr>
          <w:p w14:paraId="78359665">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医院科室</w:t>
            </w:r>
          </w:p>
        </w:tc>
        <w:tc>
          <w:tcPr>
            <w:tcW w:w="2551" w:type="pct"/>
            <w:tcBorders>
              <w:top w:val="single" w:color="000000" w:sz="4" w:space="0"/>
              <w:left w:val="single" w:color="000000" w:sz="4" w:space="0"/>
              <w:bottom w:val="single" w:color="000000" w:sz="4" w:space="0"/>
              <w:right w:val="single" w:color="000000" w:sz="4" w:space="0"/>
            </w:tcBorders>
            <w:vAlign w:val="center"/>
          </w:tcPr>
          <w:p w14:paraId="1EC66472">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提供产品支持医院科室维度的医院服务质量评价指标。指标类别和指标构成需同医院总体内容保持一致，进行定性和可视化分析。</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支持以下功能和操作：</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1.支持科室DIP结算、非DIP结算病例的质量评价指标分析；</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2.支持下钻到主诊医师、病例明细层级的分析；</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3.支持报表导出，并能自定义要分析的指标；</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4.支持重要分析维度的可视化展示：科室服务能力、服务效率、质量效能、科室下病种质量效能、科室病种分布、入组评价、效率对比及科室重点病例分析，其中入组评价支持区间自定义，重点病例包括不限于转科病人、15天再入院、死亡病例等；</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5.支持统筹区、险种类型、患者医保身份等不同筛选条件的分析。</w:t>
            </w:r>
          </w:p>
        </w:tc>
        <w:tc>
          <w:tcPr>
            <w:tcW w:w="530" w:type="pct"/>
            <w:tcBorders>
              <w:top w:val="single" w:color="000000" w:sz="4" w:space="0"/>
              <w:left w:val="single" w:color="000000" w:sz="4" w:space="0"/>
              <w:bottom w:val="single" w:color="000000" w:sz="4" w:space="0"/>
              <w:right w:val="single" w:color="000000" w:sz="4" w:space="0"/>
            </w:tcBorders>
            <w:vAlign w:val="center"/>
          </w:tcPr>
          <w:p w14:paraId="73CDCA90">
            <w:pPr>
              <w:widowControl/>
              <w:jc w:val="left"/>
              <w:rPr>
                <w:rFonts w:ascii="宋体" w:hAnsi="宋体" w:eastAsia="宋体" w:cs="宋体"/>
                <w:color w:val="000000"/>
                <w:kern w:val="0"/>
                <w:szCs w:val="21"/>
              </w:rPr>
            </w:pPr>
          </w:p>
        </w:tc>
        <w:tc>
          <w:tcPr>
            <w:tcW w:w="590" w:type="pct"/>
            <w:tcBorders>
              <w:top w:val="single" w:color="000000" w:sz="4" w:space="0"/>
              <w:left w:val="single" w:color="000000" w:sz="4" w:space="0"/>
              <w:bottom w:val="single" w:color="000000" w:sz="4" w:space="0"/>
              <w:right w:val="single" w:color="000000" w:sz="4" w:space="0"/>
            </w:tcBorders>
            <w:vAlign w:val="center"/>
          </w:tcPr>
          <w:p w14:paraId="16A383A9">
            <w:pPr>
              <w:widowControl/>
              <w:jc w:val="left"/>
              <w:rPr>
                <w:rFonts w:ascii="宋体" w:hAnsi="宋体" w:eastAsia="宋体" w:cs="宋体"/>
                <w:color w:val="000000"/>
                <w:kern w:val="0"/>
                <w:szCs w:val="21"/>
              </w:rPr>
            </w:pPr>
          </w:p>
        </w:tc>
      </w:tr>
      <w:tr w14:paraId="2268BFE8">
        <w:tblPrEx>
          <w:tblCellMar>
            <w:top w:w="0" w:type="dxa"/>
            <w:left w:w="108" w:type="dxa"/>
            <w:bottom w:w="0" w:type="dxa"/>
            <w:right w:w="108" w:type="dxa"/>
          </w:tblCellMar>
        </w:tblPrEx>
        <w:trPr>
          <w:trHeight w:val="3000" w:hRule="atLeast"/>
        </w:trPr>
        <w:tc>
          <w:tcPr>
            <w:tcW w:w="233" w:type="pct"/>
            <w:tcBorders>
              <w:top w:val="single" w:color="000000" w:sz="4" w:space="0"/>
              <w:left w:val="single" w:color="000000" w:sz="4" w:space="0"/>
              <w:bottom w:val="single" w:color="000000" w:sz="4" w:space="0"/>
              <w:right w:val="nil"/>
            </w:tcBorders>
            <w:vAlign w:val="center"/>
          </w:tcPr>
          <w:p w14:paraId="1AC9313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52</w:t>
            </w:r>
          </w:p>
        </w:tc>
        <w:tc>
          <w:tcPr>
            <w:tcW w:w="294" w:type="pct"/>
            <w:vMerge w:val="continue"/>
            <w:tcBorders>
              <w:top w:val="single" w:color="000000" w:sz="4" w:space="0"/>
              <w:left w:val="single" w:color="000000" w:sz="4" w:space="0"/>
              <w:bottom w:val="nil"/>
              <w:right w:val="single" w:color="000000" w:sz="4" w:space="0"/>
            </w:tcBorders>
            <w:vAlign w:val="center"/>
          </w:tcPr>
          <w:p w14:paraId="77D1A4BD">
            <w:pPr>
              <w:widowControl/>
              <w:jc w:val="left"/>
              <w:rPr>
                <w:rFonts w:ascii="宋体" w:hAnsi="宋体" w:eastAsia="宋体" w:cs="宋体"/>
                <w:b/>
                <w:bCs/>
                <w:color w:val="000000"/>
                <w:kern w:val="0"/>
                <w:szCs w:val="21"/>
              </w:rPr>
            </w:pPr>
          </w:p>
        </w:tc>
        <w:tc>
          <w:tcPr>
            <w:tcW w:w="369" w:type="pct"/>
            <w:vMerge w:val="continue"/>
            <w:tcBorders>
              <w:top w:val="single" w:color="000000" w:sz="4" w:space="0"/>
              <w:left w:val="single" w:color="000000" w:sz="4" w:space="0"/>
              <w:bottom w:val="single" w:color="000000" w:sz="4" w:space="0"/>
              <w:right w:val="single" w:color="000000" w:sz="4" w:space="0"/>
            </w:tcBorders>
            <w:vAlign w:val="center"/>
          </w:tcPr>
          <w:p w14:paraId="0995DB1A">
            <w:pPr>
              <w:widowControl/>
              <w:jc w:val="left"/>
              <w:rPr>
                <w:rFonts w:ascii="宋体" w:hAnsi="宋体" w:eastAsia="宋体" w:cs="宋体"/>
                <w:color w:val="000000"/>
                <w:kern w:val="0"/>
                <w:szCs w:val="21"/>
              </w:rPr>
            </w:pPr>
          </w:p>
        </w:tc>
        <w:tc>
          <w:tcPr>
            <w:tcW w:w="429" w:type="pct"/>
            <w:tcBorders>
              <w:top w:val="single" w:color="000000" w:sz="4" w:space="0"/>
              <w:left w:val="single" w:color="000000" w:sz="4" w:space="0"/>
              <w:bottom w:val="single" w:color="000000" w:sz="4" w:space="0"/>
              <w:right w:val="single" w:color="000000" w:sz="4" w:space="0"/>
            </w:tcBorders>
            <w:vAlign w:val="center"/>
          </w:tcPr>
          <w:p w14:paraId="2DCC33C7">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主诊医师</w:t>
            </w:r>
          </w:p>
        </w:tc>
        <w:tc>
          <w:tcPr>
            <w:tcW w:w="2551" w:type="pct"/>
            <w:tcBorders>
              <w:top w:val="single" w:color="000000" w:sz="4" w:space="0"/>
              <w:left w:val="single" w:color="000000" w:sz="4" w:space="0"/>
              <w:bottom w:val="single" w:color="000000" w:sz="4" w:space="0"/>
              <w:right w:val="single" w:color="000000" w:sz="4" w:space="0"/>
            </w:tcBorders>
            <w:vAlign w:val="center"/>
          </w:tcPr>
          <w:p w14:paraId="4BCBEBE9">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提供产品支持医院主治医师维度的医院服务质量评价指标。指标类别和指标构成需同医院总体内容保持一致，需进行定性和可视化分析。</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支持以下功能和操作：</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1.支持医师DIP结算、非DIP结算病例的质量评价指标分析；</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2.支持下钻到病例明细层级的分析；</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3.支持报表导出，并能自定义要分析的指标；</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4.支持重要分析维度的可视化展示：主诊医师服务能力、服务效率、主诊医师病种分布、入组评价、效率对比及主诊医师重点病例分析，其中入组评价支持区间自定义，重点病例包括不限于转科病人、15天再入院、死亡病例等；</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5.支持统筹区、险种类型、患者医保身份等不同筛选条件的分析。</w:t>
            </w:r>
          </w:p>
        </w:tc>
        <w:tc>
          <w:tcPr>
            <w:tcW w:w="530" w:type="pct"/>
            <w:tcBorders>
              <w:top w:val="single" w:color="000000" w:sz="4" w:space="0"/>
              <w:left w:val="single" w:color="000000" w:sz="4" w:space="0"/>
              <w:bottom w:val="single" w:color="000000" w:sz="4" w:space="0"/>
              <w:right w:val="single" w:color="000000" w:sz="4" w:space="0"/>
            </w:tcBorders>
            <w:vAlign w:val="center"/>
          </w:tcPr>
          <w:p w14:paraId="6D5AF4D0">
            <w:pPr>
              <w:widowControl/>
              <w:jc w:val="left"/>
              <w:rPr>
                <w:rFonts w:ascii="宋体" w:hAnsi="宋体" w:eastAsia="宋体" w:cs="宋体"/>
                <w:color w:val="000000"/>
                <w:kern w:val="0"/>
                <w:szCs w:val="21"/>
              </w:rPr>
            </w:pPr>
          </w:p>
        </w:tc>
        <w:tc>
          <w:tcPr>
            <w:tcW w:w="590" w:type="pct"/>
            <w:tcBorders>
              <w:top w:val="single" w:color="000000" w:sz="4" w:space="0"/>
              <w:left w:val="single" w:color="000000" w:sz="4" w:space="0"/>
              <w:bottom w:val="single" w:color="000000" w:sz="4" w:space="0"/>
              <w:right w:val="single" w:color="000000" w:sz="4" w:space="0"/>
            </w:tcBorders>
            <w:vAlign w:val="center"/>
          </w:tcPr>
          <w:p w14:paraId="5D21F26E">
            <w:pPr>
              <w:widowControl/>
              <w:jc w:val="left"/>
              <w:rPr>
                <w:rFonts w:ascii="宋体" w:hAnsi="宋体" w:eastAsia="宋体" w:cs="宋体"/>
                <w:color w:val="000000"/>
                <w:kern w:val="0"/>
                <w:szCs w:val="21"/>
              </w:rPr>
            </w:pPr>
          </w:p>
        </w:tc>
      </w:tr>
      <w:tr w14:paraId="6704D938">
        <w:tblPrEx>
          <w:tblCellMar>
            <w:top w:w="0" w:type="dxa"/>
            <w:left w:w="108" w:type="dxa"/>
            <w:bottom w:w="0" w:type="dxa"/>
            <w:right w:w="108" w:type="dxa"/>
          </w:tblCellMar>
        </w:tblPrEx>
        <w:trPr>
          <w:trHeight w:val="3900" w:hRule="atLeast"/>
        </w:trPr>
        <w:tc>
          <w:tcPr>
            <w:tcW w:w="233" w:type="pct"/>
            <w:tcBorders>
              <w:top w:val="single" w:color="000000" w:sz="4" w:space="0"/>
              <w:left w:val="single" w:color="000000" w:sz="4" w:space="0"/>
              <w:bottom w:val="single" w:color="000000" w:sz="4" w:space="0"/>
              <w:right w:val="nil"/>
            </w:tcBorders>
            <w:vAlign w:val="center"/>
          </w:tcPr>
          <w:p w14:paraId="6CDF12B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53</w:t>
            </w:r>
          </w:p>
        </w:tc>
        <w:tc>
          <w:tcPr>
            <w:tcW w:w="294" w:type="pct"/>
            <w:vMerge w:val="continue"/>
            <w:tcBorders>
              <w:top w:val="single" w:color="000000" w:sz="4" w:space="0"/>
              <w:left w:val="single" w:color="000000" w:sz="4" w:space="0"/>
              <w:bottom w:val="nil"/>
              <w:right w:val="single" w:color="000000" w:sz="4" w:space="0"/>
            </w:tcBorders>
            <w:vAlign w:val="center"/>
          </w:tcPr>
          <w:p w14:paraId="0F1FE5E5">
            <w:pPr>
              <w:widowControl/>
              <w:jc w:val="left"/>
              <w:rPr>
                <w:rFonts w:ascii="宋体" w:hAnsi="宋体" w:eastAsia="宋体" w:cs="宋体"/>
                <w:b/>
                <w:bCs/>
                <w:color w:val="000000"/>
                <w:kern w:val="0"/>
                <w:szCs w:val="21"/>
              </w:rPr>
            </w:pPr>
          </w:p>
        </w:tc>
        <w:tc>
          <w:tcPr>
            <w:tcW w:w="369" w:type="pct"/>
            <w:vMerge w:val="restart"/>
            <w:tcBorders>
              <w:top w:val="single" w:color="000000" w:sz="4" w:space="0"/>
              <w:left w:val="single" w:color="000000" w:sz="4" w:space="0"/>
              <w:bottom w:val="nil"/>
              <w:right w:val="single" w:color="000000" w:sz="4" w:space="0"/>
            </w:tcBorders>
            <w:vAlign w:val="center"/>
          </w:tcPr>
          <w:p w14:paraId="64A07FA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运营分析</w:t>
            </w:r>
          </w:p>
        </w:tc>
        <w:tc>
          <w:tcPr>
            <w:tcW w:w="429" w:type="pct"/>
            <w:tcBorders>
              <w:top w:val="single" w:color="000000" w:sz="4" w:space="0"/>
              <w:left w:val="single" w:color="000000" w:sz="4" w:space="0"/>
              <w:bottom w:val="single" w:color="000000" w:sz="4" w:space="0"/>
              <w:right w:val="single" w:color="000000" w:sz="4" w:space="0"/>
            </w:tcBorders>
            <w:vAlign w:val="center"/>
          </w:tcPr>
          <w:p w14:paraId="037EF635">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医院总体</w:t>
            </w:r>
          </w:p>
        </w:tc>
        <w:tc>
          <w:tcPr>
            <w:tcW w:w="2551" w:type="pct"/>
            <w:tcBorders>
              <w:top w:val="single" w:color="000000" w:sz="4" w:space="0"/>
              <w:left w:val="single" w:color="000000" w:sz="4" w:space="0"/>
              <w:bottom w:val="single" w:color="000000" w:sz="4" w:space="0"/>
              <w:right w:val="single" w:color="000000" w:sz="4" w:space="0"/>
            </w:tcBorders>
            <w:vAlign w:val="center"/>
          </w:tcPr>
          <w:p w14:paraId="44EE6F7C">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产品支持以下功能：</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1.支持各项医院医保结算运营分析指标，区分不同维度进行统计，根据账号的数据权限展示对应结果，运营分析指标类别应包含医院的超支结余计算结果、患者和医保付费结构、超支结余病例组成、费用结构等，指标包括不限于DIP总费用、盈亏金额、结余病例数、超支病例数、个人负担。支持展示盈亏情况时间序列分析、病例类型结构等的可视化分析结果；</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2.支持医院DIP结算、非DIP结算病例的运营情况分析；</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3.支持重点指标概览，快速了解整体现状，并支持查看同比、环比情况，如总病例数、总盈亏、平均盈亏、DIP病种数、病例总分值等；</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4.支持下钻分析科室、主诊医师、病例明细层级的运营情况；</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5.支持报表导出，并能自定义要分析的指标；</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6.支持重要分析维度的可视化展示：盈亏变化趋势、病种盈亏分布、科室盈亏组成、不同病例类型结算详情及其变化趋势等；</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7.支持统筹区、险种类型、患者医保身份、病例类型等不同筛选条件的分析。</w:t>
            </w:r>
          </w:p>
        </w:tc>
        <w:tc>
          <w:tcPr>
            <w:tcW w:w="530" w:type="pct"/>
            <w:tcBorders>
              <w:top w:val="single" w:color="000000" w:sz="4" w:space="0"/>
              <w:left w:val="single" w:color="000000" w:sz="4" w:space="0"/>
              <w:bottom w:val="single" w:color="000000" w:sz="4" w:space="0"/>
              <w:right w:val="single" w:color="000000" w:sz="4" w:space="0"/>
            </w:tcBorders>
            <w:vAlign w:val="center"/>
          </w:tcPr>
          <w:p w14:paraId="7A298780">
            <w:pPr>
              <w:widowControl/>
              <w:jc w:val="left"/>
              <w:rPr>
                <w:rFonts w:ascii="宋体" w:hAnsi="宋体" w:eastAsia="宋体" w:cs="宋体"/>
                <w:color w:val="000000"/>
                <w:kern w:val="0"/>
                <w:szCs w:val="21"/>
              </w:rPr>
            </w:pPr>
          </w:p>
        </w:tc>
        <w:tc>
          <w:tcPr>
            <w:tcW w:w="590" w:type="pct"/>
            <w:tcBorders>
              <w:top w:val="single" w:color="000000" w:sz="4" w:space="0"/>
              <w:left w:val="single" w:color="000000" w:sz="4" w:space="0"/>
              <w:bottom w:val="single" w:color="000000" w:sz="4" w:space="0"/>
              <w:right w:val="single" w:color="000000" w:sz="4" w:space="0"/>
            </w:tcBorders>
            <w:vAlign w:val="center"/>
          </w:tcPr>
          <w:p w14:paraId="1B2C537C">
            <w:pPr>
              <w:widowControl/>
              <w:jc w:val="left"/>
              <w:rPr>
                <w:rFonts w:ascii="宋体" w:hAnsi="宋体" w:eastAsia="宋体" w:cs="宋体"/>
                <w:color w:val="000000"/>
                <w:kern w:val="0"/>
                <w:szCs w:val="21"/>
              </w:rPr>
            </w:pPr>
          </w:p>
        </w:tc>
      </w:tr>
      <w:tr w14:paraId="031180FA">
        <w:tblPrEx>
          <w:tblCellMar>
            <w:top w:w="0" w:type="dxa"/>
            <w:left w:w="108" w:type="dxa"/>
            <w:bottom w:w="0" w:type="dxa"/>
            <w:right w:w="108" w:type="dxa"/>
          </w:tblCellMar>
        </w:tblPrEx>
        <w:trPr>
          <w:trHeight w:val="2700" w:hRule="atLeast"/>
        </w:trPr>
        <w:tc>
          <w:tcPr>
            <w:tcW w:w="233" w:type="pct"/>
            <w:tcBorders>
              <w:top w:val="single" w:color="000000" w:sz="4" w:space="0"/>
              <w:left w:val="single" w:color="000000" w:sz="4" w:space="0"/>
              <w:bottom w:val="single" w:color="000000" w:sz="4" w:space="0"/>
              <w:right w:val="nil"/>
            </w:tcBorders>
            <w:vAlign w:val="center"/>
          </w:tcPr>
          <w:p w14:paraId="2C5A659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54</w:t>
            </w:r>
          </w:p>
        </w:tc>
        <w:tc>
          <w:tcPr>
            <w:tcW w:w="294" w:type="pct"/>
            <w:vMerge w:val="continue"/>
            <w:tcBorders>
              <w:top w:val="single" w:color="000000" w:sz="4" w:space="0"/>
              <w:left w:val="single" w:color="000000" w:sz="4" w:space="0"/>
              <w:bottom w:val="nil"/>
              <w:right w:val="single" w:color="000000" w:sz="4" w:space="0"/>
            </w:tcBorders>
            <w:vAlign w:val="center"/>
          </w:tcPr>
          <w:p w14:paraId="07760000">
            <w:pPr>
              <w:widowControl/>
              <w:jc w:val="left"/>
              <w:rPr>
                <w:rFonts w:ascii="宋体" w:hAnsi="宋体" w:eastAsia="宋体" w:cs="宋体"/>
                <w:b/>
                <w:bCs/>
                <w:color w:val="000000"/>
                <w:kern w:val="0"/>
                <w:szCs w:val="21"/>
              </w:rPr>
            </w:pPr>
          </w:p>
        </w:tc>
        <w:tc>
          <w:tcPr>
            <w:tcW w:w="369" w:type="pct"/>
            <w:vMerge w:val="continue"/>
            <w:tcBorders>
              <w:top w:val="single" w:color="000000" w:sz="4" w:space="0"/>
              <w:left w:val="single" w:color="000000" w:sz="4" w:space="0"/>
              <w:bottom w:val="nil"/>
              <w:right w:val="single" w:color="000000" w:sz="4" w:space="0"/>
            </w:tcBorders>
            <w:vAlign w:val="center"/>
          </w:tcPr>
          <w:p w14:paraId="480C41D5">
            <w:pPr>
              <w:widowControl/>
              <w:jc w:val="left"/>
              <w:rPr>
                <w:rFonts w:ascii="宋体" w:hAnsi="宋体" w:eastAsia="宋体" w:cs="宋体"/>
                <w:color w:val="000000"/>
                <w:kern w:val="0"/>
                <w:szCs w:val="21"/>
              </w:rPr>
            </w:pPr>
          </w:p>
        </w:tc>
        <w:tc>
          <w:tcPr>
            <w:tcW w:w="429" w:type="pct"/>
            <w:tcBorders>
              <w:top w:val="single" w:color="000000" w:sz="4" w:space="0"/>
              <w:left w:val="single" w:color="000000" w:sz="4" w:space="0"/>
              <w:bottom w:val="single" w:color="000000" w:sz="4" w:space="0"/>
              <w:right w:val="single" w:color="000000" w:sz="4" w:space="0"/>
            </w:tcBorders>
            <w:vAlign w:val="center"/>
          </w:tcPr>
          <w:p w14:paraId="798C91F3">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医院科室</w:t>
            </w:r>
          </w:p>
        </w:tc>
        <w:tc>
          <w:tcPr>
            <w:tcW w:w="2551" w:type="pct"/>
            <w:tcBorders>
              <w:top w:val="single" w:color="000000" w:sz="4" w:space="0"/>
              <w:left w:val="single" w:color="000000" w:sz="4" w:space="0"/>
              <w:bottom w:val="single" w:color="000000" w:sz="4" w:space="0"/>
              <w:right w:val="single" w:color="000000" w:sz="4" w:space="0"/>
            </w:tcBorders>
            <w:vAlign w:val="center"/>
          </w:tcPr>
          <w:p w14:paraId="1E63C3EB">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产品支持以下功能：</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1.支持医院科室维度的医保结算运营分析指标。指标类别和指标构成需同医院总体内容保持一致；</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2.支持科室DIP结算、非DIP结算病例转科、超支、结余等情况的运营情况分析；</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3.支持重点指标概览，快速了解筛选科室现状，并支持查看同比、环比情况，如总盈亏、病例总分值、总人次、入组率、药占比、耗占比等；</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4.支持下钻分析主诊医师、病例明细层级的运营情况；</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5.支持报表导出，并能自定义要分析的指标；</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6.支持重要分析维度的可视化展示：科室盈亏变化趋势、病例盈亏分析、费用结构分析；</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7.支持统筹区、险种类型、患者医保身份、病例类型等不同筛选条件的分析。</w:t>
            </w:r>
          </w:p>
        </w:tc>
        <w:tc>
          <w:tcPr>
            <w:tcW w:w="530" w:type="pct"/>
            <w:tcBorders>
              <w:top w:val="single" w:color="000000" w:sz="4" w:space="0"/>
              <w:left w:val="single" w:color="000000" w:sz="4" w:space="0"/>
              <w:bottom w:val="single" w:color="000000" w:sz="4" w:space="0"/>
              <w:right w:val="single" w:color="000000" w:sz="4" w:space="0"/>
            </w:tcBorders>
            <w:vAlign w:val="center"/>
          </w:tcPr>
          <w:p w14:paraId="6A00F0EC">
            <w:pPr>
              <w:widowControl/>
              <w:jc w:val="left"/>
              <w:rPr>
                <w:rFonts w:ascii="宋体" w:hAnsi="宋体" w:eastAsia="宋体" w:cs="宋体"/>
                <w:color w:val="000000"/>
                <w:kern w:val="0"/>
                <w:szCs w:val="21"/>
              </w:rPr>
            </w:pPr>
          </w:p>
        </w:tc>
        <w:tc>
          <w:tcPr>
            <w:tcW w:w="590" w:type="pct"/>
            <w:tcBorders>
              <w:top w:val="single" w:color="000000" w:sz="4" w:space="0"/>
              <w:left w:val="single" w:color="000000" w:sz="4" w:space="0"/>
              <w:bottom w:val="single" w:color="000000" w:sz="4" w:space="0"/>
              <w:right w:val="single" w:color="000000" w:sz="4" w:space="0"/>
            </w:tcBorders>
            <w:vAlign w:val="center"/>
          </w:tcPr>
          <w:p w14:paraId="05ECC4A7">
            <w:pPr>
              <w:widowControl/>
              <w:jc w:val="left"/>
              <w:rPr>
                <w:rFonts w:ascii="宋体" w:hAnsi="宋体" w:eastAsia="宋体" w:cs="宋体"/>
                <w:color w:val="000000"/>
                <w:kern w:val="0"/>
                <w:szCs w:val="21"/>
              </w:rPr>
            </w:pPr>
          </w:p>
        </w:tc>
      </w:tr>
      <w:tr w14:paraId="5E8E1D5E">
        <w:tblPrEx>
          <w:tblCellMar>
            <w:top w:w="0" w:type="dxa"/>
            <w:left w:w="108" w:type="dxa"/>
            <w:bottom w:w="0" w:type="dxa"/>
            <w:right w:w="108" w:type="dxa"/>
          </w:tblCellMar>
        </w:tblPrEx>
        <w:trPr>
          <w:trHeight w:val="2400" w:hRule="atLeast"/>
        </w:trPr>
        <w:tc>
          <w:tcPr>
            <w:tcW w:w="233" w:type="pct"/>
            <w:tcBorders>
              <w:top w:val="single" w:color="000000" w:sz="4" w:space="0"/>
              <w:left w:val="single" w:color="000000" w:sz="4" w:space="0"/>
              <w:bottom w:val="single" w:color="000000" w:sz="4" w:space="0"/>
              <w:right w:val="nil"/>
            </w:tcBorders>
            <w:vAlign w:val="center"/>
          </w:tcPr>
          <w:p w14:paraId="7A92DA0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55</w:t>
            </w:r>
          </w:p>
        </w:tc>
        <w:tc>
          <w:tcPr>
            <w:tcW w:w="294" w:type="pct"/>
            <w:vMerge w:val="continue"/>
            <w:tcBorders>
              <w:top w:val="single" w:color="000000" w:sz="4" w:space="0"/>
              <w:left w:val="single" w:color="000000" w:sz="4" w:space="0"/>
              <w:bottom w:val="nil"/>
              <w:right w:val="single" w:color="000000" w:sz="4" w:space="0"/>
            </w:tcBorders>
            <w:vAlign w:val="center"/>
          </w:tcPr>
          <w:p w14:paraId="02617021">
            <w:pPr>
              <w:widowControl/>
              <w:jc w:val="left"/>
              <w:rPr>
                <w:rFonts w:ascii="宋体" w:hAnsi="宋体" w:eastAsia="宋体" w:cs="宋体"/>
                <w:b/>
                <w:bCs/>
                <w:color w:val="000000"/>
                <w:kern w:val="0"/>
                <w:szCs w:val="21"/>
              </w:rPr>
            </w:pPr>
          </w:p>
        </w:tc>
        <w:tc>
          <w:tcPr>
            <w:tcW w:w="369" w:type="pct"/>
            <w:vMerge w:val="continue"/>
            <w:tcBorders>
              <w:top w:val="single" w:color="000000" w:sz="4" w:space="0"/>
              <w:left w:val="single" w:color="000000" w:sz="4" w:space="0"/>
              <w:bottom w:val="nil"/>
              <w:right w:val="single" w:color="000000" w:sz="4" w:space="0"/>
            </w:tcBorders>
            <w:vAlign w:val="center"/>
          </w:tcPr>
          <w:p w14:paraId="71028745">
            <w:pPr>
              <w:widowControl/>
              <w:jc w:val="left"/>
              <w:rPr>
                <w:rFonts w:ascii="宋体" w:hAnsi="宋体" w:eastAsia="宋体" w:cs="宋体"/>
                <w:color w:val="000000"/>
                <w:kern w:val="0"/>
                <w:szCs w:val="21"/>
              </w:rPr>
            </w:pPr>
          </w:p>
        </w:tc>
        <w:tc>
          <w:tcPr>
            <w:tcW w:w="429" w:type="pct"/>
            <w:tcBorders>
              <w:top w:val="single" w:color="000000" w:sz="4" w:space="0"/>
              <w:left w:val="single" w:color="000000" w:sz="4" w:space="0"/>
              <w:bottom w:val="single" w:color="000000" w:sz="4" w:space="0"/>
              <w:right w:val="single" w:color="000000" w:sz="4" w:space="0"/>
            </w:tcBorders>
            <w:vAlign w:val="center"/>
          </w:tcPr>
          <w:p w14:paraId="5B64177C">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主诊医师</w:t>
            </w:r>
          </w:p>
        </w:tc>
        <w:tc>
          <w:tcPr>
            <w:tcW w:w="2551" w:type="pct"/>
            <w:tcBorders>
              <w:top w:val="single" w:color="000000" w:sz="4" w:space="0"/>
              <w:left w:val="single" w:color="000000" w:sz="4" w:space="0"/>
              <w:bottom w:val="single" w:color="000000" w:sz="4" w:space="0"/>
              <w:right w:val="single" w:color="000000" w:sz="4" w:space="0"/>
            </w:tcBorders>
            <w:vAlign w:val="center"/>
          </w:tcPr>
          <w:p w14:paraId="43EEC433">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产品支持以下功能：</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1.支持主治医师维度的医保结算运营分析指标。指标类别和指标构成需同医院总体内容保持一致；</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2.支持主诊医师DIP结算、非DIP结算病例超支、结余等的运营情况分析；</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3.支持下钻病例明细层级的运营情况；</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4.支持报表导出，并能自定义要分析的指标；</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5.支持重要分析维度的可视化展示：主诊医师盈亏变化趋势、平均分值与次均盈亏分布图、费用结构分析；</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6.支持统筹区、险种类型、患者医保身份、病例类型等不同筛选条件的分析。</w:t>
            </w:r>
          </w:p>
        </w:tc>
        <w:tc>
          <w:tcPr>
            <w:tcW w:w="530" w:type="pct"/>
            <w:tcBorders>
              <w:top w:val="single" w:color="000000" w:sz="4" w:space="0"/>
              <w:left w:val="single" w:color="000000" w:sz="4" w:space="0"/>
              <w:bottom w:val="single" w:color="000000" w:sz="4" w:space="0"/>
              <w:right w:val="single" w:color="000000" w:sz="4" w:space="0"/>
            </w:tcBorders>
            <w:vAlign w:val="center"/>
          </w:tcPr>
          <w:p w14:paraId="262B7E00">
            <w:pPr>
              <w:widowControl/>
              <w:jc w:val="left"/>
              <w:rPr>
                <w:rFonts w:ascii="宋体" w:hAnsi="宋体" w:eastAsia="宋体" w:cs="宋体"/>
                <w:color w:val="000000"/>
                <w:kern w:val="0"/>
                <w:szCs w:val="21"/>
              </w:rPr>
            </w:pPr>
          </w:p>
        </w:tc>
        <w:tc>
          <w:tcPr>
            <w:tcW w:w="590" w:type="pct"/>
            <w:tcBorders>
              <w:top w:val="single" w:color="000000" w:sz="4" w:space="0"/>
              <w:left w:val="single" w:color="000000" w:sz="4" w:space="0"/>
              <w:bottom w:val="single" w:color="000000" w:sz="4" w:space="0"/>
              <w:right w:val="single" w:color="000000" w:sz="4" w:space="0"/>
            </w:tcBorders>
            <w:vAlign w:val="center"/>
          </w:tcPr>
          <w:p w14:paraId="457E006F">
            <w:pPr>
              <w:widowControl/>
              <w:jc w:val="left"/>
              <w:rPr>
                <w:rFonts w:ascii="宋体" w:hAnsi="宋体" w:eastAsia="宋体" w:cs="宋体"/>
                <w:color w:val="000000"/>
                <w:kern w:val="0"/>
                <w:szCs w:val="21"/>
              </w:rPr>
            </w:pPr>
          </w:p>
        </w:tc>
      </w:tr>
      <w:tr w14:paraId="5CAC530E">
        <w:tblPrEx>
          <w:tblCellMar>
            <w:top w:w="0" w:type="dxa"/>
            <w:left w:w="108" w:type="dxa"/>
            <w:bottom w:w="0" w:type="dxa"/>
            <w:right w:w="108" w:type="dxa"/>
          </w:tblCellMar>
        </w:tblPrEx>
        <w:trPr>
          <w:trHeight w:val="3600" w:hRule="atLeast"/>
        </w:trPr>
        <w:tc>
          <w:tcPr>
            <w:tcW w:w="233" w:type="pct"/>
            <w:tcBorders>
              <w:top w:val="single" w:color="000000" w:sz="4" w:space="0"/>
              <w:left w:val="single" w:color="000000" w:sz="4" w:space="0"/>
              <w:bottom w:val="single" w:color="000000" w:sz="4" w:space="0"/>
              <w:right w:val="nil"/>
            </w:tcBorders>
            <w:vAlign w:val="center"/>
          </w:tcPr>
          <w:p w14:paraId="35A5A9C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56</w:t>
            </w:r>
          </w:p>
        </w:tc>
        <w:tc>
          <w:tcPr>
            <w:tcW w:w="294" w:type="pct"/>
            <w:vMerge w:val="continue"/>
            <w:tcBorders>
              <w:top w:val="single" w:color="000000" w:sz="4" w:space="0"/>
              <w:left w:val="single" w:color="000000" w:sz="4" w:space="0"/>
              <w:bottom w:val="nil"/>
              <w:right w:val="single" w:color="000000" w:sz="4" w:space="0"/>
            </w:tcBorders>
            <w:vAlign w:val="center"/>
          </w:tcPr>
          <w:p w14:paraId="209BDC86">
            <w:pPr>
              <w:widowControl/>
              <w:jc w:val="left"/>
              <w:rPr>
                <w:rFonts w:ascii="宋体" w:hAnsi="宋体" w:eastAsia="宋体" w:cs="宋体"/>
                <w:b/>
                <w:bCs/>
                <w:color w:val="000000"/>
                <w:kern w:val="0"/>
                <w:szCs w:val="21"/>
              </w:rPr>
            </w:pPr>
          </w:p>
        </w:tc>
        <w:tc>
          <w:tcPr>
            <w:tcW w:w="369" w:type="pct"/>
            <w:vMerge w:val="restart"/>
            <w:tcBorders>
              <w:top w:val="single" w:color="000000" w:sz="4" w:space="0"/>
              <w:left w:val="single" w:color="000000" w:sz="4" w:space="0"/>
              <w:bottom w:val="single" w:color="000000" w:sz="4" w:space="0"/>
              <w:right w:val="single" w:color="000000" w:sz="4" w:space="0"/>
            </w:tcBorders>
            <w:vAlign w:val="center"/>
          </w:tcPr>
          <w:p w14:paraId="56B41F8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病种分析</w:t>
            </w:r>
          </w:p>
        </w:tc>
        <w:tc>
          <w:tcPr>
            <w:tcW w:w="429" w:type="pct"/>
            <w:tcBorders>
              <w:top w:val="single" w:color="000000" w:sz="4" w:space="0"/>
              <w:left w:val="single" w:color="000000" w:sz="4" w:space="0"/>
              <w:bottom w:val="single" w:color="000000" w:sz="4" w:space="0"/>
              <w:right w:val="single" w:color="000000" w:sz="4" w:space="0"/>
            </w:tcBorders>
            <w:vAlign w:val="center"/>
          </w:tcPr>
          <w:p w14:paraId="12B8122D">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医院总体</w:t>
            </w:r>
          </w:p>
        </w:tc>
        <w:tc>
          <w:tcPr>
            <w:tcW w:w="2551" w:type="pct"/>
            <w:tcBorders>
              <w:top w:val="single" w:color="000000" w:sz="4" w:space="0"/>
              <w:left w:val="single" w:color="000000" w:sz="4" w:space="0"/>
              <w:bottom w:val="single" w:color="000000" w:sz="4" w:space="0"/>
              <w:right w:val="single" w:color="000000" w:sz="4" w:space="0"/>
            </w:tcBorders>
            <w:vAlign w:val="center"/>
          </w:tcPr>
          <w:p w14:paraId="0C2194F5">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产品支持以下功能：</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1.支持医院病种层级分析结果展示，指标类别包含医院病组整体的盈亏、病例类型构成、诊疗效率、资源消耗、主要诊断、主要手术、费用结构，指标包括不限于病例数、总费用、盈亏金额、时间/费用消耗指数、DIP类型、死亡率、西药均费等；</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2.支持医院DIP结算、非DIP结算病例病种综合分析；</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3.支持病种、盈亏情况快速筛选；</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4.支持重点指标概览，快速了解整体现状，并支持查看同比、环比情况，如DIP病种数、核心病种数、综合病种数、总盈亏、病种分值等；</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5.支持分值分布统计;</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6.支持下钻到科室、主诊医师、病例明细层级分析明细；</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7.支持报表导出，并能自定义要分析的指标；</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8.支持统筹区、险种类型、患者医保身份、病例类型等不同筛选条件的分析。</w:t>
            </w:r>
          </w:p>
        </w:tc>
        <w:tc>
          <w:tcPr>
            <w:tcW w:w="530" w:type="pct"/>
            <w:tcBorders>
              <w:top w:val="single" w:color="000000" w:sz="4" w:space="0"/>
              <w:left w:val="single" w:color="000000" w:sz="4" w:space="0"/>
              <w:bottom w:val="single" w:color="000000" w:sz="4" w:space="0"/>
              <w:right w:val="single" w:color="000000" w:sz="4" w:space="0"/>
            </w:tcBorders>
            <w:vAlign w:val="center"/>
          </w:tcPr>
          <w:p w14:paraId="70CB8373">
            <w:pPr>
              <w:widowControl/>
              <w:jc w:val="left"/>
              <w:rPr>
                <w:rFonts w:ascii="宋体" w:hAnsi="宋体" w:eastAsia="宋体" w:cs="宋体"/>
                <w:color w:val="000000"/>
                <w:kern w:val="0"/>
                <w:szCs w:val="21"/>
              </w:rPr>
            </w:pPr>
          </w:p>
        </w:tc>
        <w:tc>
          <w:tcPr>
            <w:tcW w:w="590" w:type="pct"/>
            <w:tcBorders>
              <w:top w:val="single" w:color="000000" w:sz="4" w:space="0"/>
              <w:left w:val="single" w:color="000000" w:sz="4" w:space="0"/>
              <w:bottom w:val="single" w:color="000000" w:sz="4" w:space="0"/>
              <w:right w:val="single" w:color="000000" w:sz="4" w:space="0"/>
            </w:tcBorders>
            <w:vAlign w:val="center"/>
          </w:tcPr>
          <w:p w14:paraId="1D086294">
            <w:pPr>
              <w:widowControl/>
              <w:jc w:val="left"/>
              <w:rPr>
                <w:rFonts w:ascii="宋体" w:hAnsi="宋体" w:eastAsia="宋体" w:cs="宋体"/>
                <w:color w:val="000000"/>
                <w:kern w:val="0"/>
                <w:szCs w:val="21"/>
              </w:rPr>
            </w:pPr>
          </w:p>
        </w:tc>
      </w:tr>
      <w:tr w14:paraId="70747196">
        <w:tblPrEx>
          <w:tblCellMar>
            <w:top w:w="0" w:type="dxa"/>
            <w:left w:w="108" w:type="dxa"/>
            <w:bottom w:w="0" w:type="dxa"/>
            <w:right w:w="108" w:type="dxa"/>
          </w:tblCellMar>
        </w:tblPrEx>
        <w:trPr>
          <w:trHeight w:val="2100" w:hRule="atLeast"/>
        </w:trPr>
        <w:tc>
          <w:tcPr>
            <w:tcW w:w="233" w:type="pct"/>
            <w:tcBorders>
              <w:top w:val="single" w:color="000000" w:sz="4" w:space="0"/>
              <w:left w:val="single" w:color="000000" w:sz="4" w:space="0"/>
              <w:bottom w:val="single" w:color="000000" w:sz="4" w:space="0"/>
              <w:right w:val="nil"/>
            </w:tcBorders>
            <w:vAlign w:val="center"/>
          </w:tcPr>
          <w:p w14:paraId="4FF6DC0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57</w:t>
            </w:r>
          </w:p>
        </w:tc>
        <w:tc>
          <w:tcPr>
            <w:tcW w:w="294" w:type="pct"/>
            <w:vMerge w:val="continue"/>
            <w:tcBorders>
              <w:top w:val="single" w:color="000000" w:sz="4" w:space="0"/>
              <w:left w:val="single" w:color="000000" w:sz="4" w:space="0"/>
              <w:bottom w:val="nil"/>
              <w:right w:val="single" w:color="000000" w:sz="4" w:space="0"/>
            </w:tcBorders>
            <w:vAlign w:val="center"/>
          </w:tcPr>
          <w:p w14:paraId="24026EB4">
            <w:pPr>
              <w:widowControl/>
              <w:jc w:val="left"/>
              <w:rPr>
                <w:rFonts w:ascii="宋体" w:hAnsi="宋体" w:eastAsia="宋体" w:cs="宋体"/>
                <w:b/>
                <w:bCs/>
                <w:color w:val="000000"/>
                <w:kern w:val="0"/>
                <w:szCs w:val="21"/>
              </w:rPr>
            </w:pPr>
          </w:p>
        </w:tc>
        <w:tc>
          <w:tcPr>
            <w:tcW w:w="369" w:type="pct"/>
            <w:vMerge w:val="continue"/>
            <w:tcBorders>
              <w:top w:val="single" w:color="000000" w:sz="4" w:space="0"/>
              <w:left w:val="single" w:color="000000" w:sz="4" w:space="0"/>
              <w:bottom w:val="single" w:color="000000" w:sz="4" w:space="0"/>
              <w:right w:val="single" w:color="000000" w:sz="4" w:space="0"/>
            </w:tcBorders>
            <w:vAlign w:val="center"/>
          </w:tcPr>
          <w:p w14:paraId="20B7E6B8">
            <w:pPr>
              <w:widowControl/>
              <w:jc w:val="left"/>
              <w:rPr>
                <w:rFonts w:ascii="宋体" w:hAnsi="宋体" w:eastAsia="宋体" w:cs="宋体"/>
                <w:color w:val="000000"/>
                <w:kern w:val="0"/>
                <w:szCs w:val="21"/>
              </w:rPr>
            </w:pPr>
          </w:p>
        </w:tc>
        <w:tc>
          <w:tcPr>
            <w:tcW w:w="429" w:type="pct"/>
            <w:tcBorders>
              <w:top w:val="single" w:color="000000" w:sz="4" w:space="0"/>
              <w:left w:val="single" w:color="000000" w:sz="4" w:space="0"/>
              <w:bottom w:val="single" w:color="000000" w:sz="4" w:space="0"/>
              <w:right w:val="single" w:color="000000" w:sz="4" w:space="0"/>
            </w:tcBorders>
            <w:vAlign w:val="center"/>
          </w:tcPr>
          <w:p w14:paraId="0D47EE3C">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医院科室</w:t>
            </w:r>
          </w:p>
        </w:tc>
        <w:tc>
          <w:tcPr>
            <w:tcW w:w="2551" w:type="pct"/>
            <w:tcBorders>
              <w:top w:val="single" w:color="000000" w:sz="4" w:space="0"/>
              <w:left w:val="single" w:color="000000" w:sz="4" w:space="0"/>
              <w:bottom w:val="single" w:color="000000" w:sz="4" w:space="0"/>
              <w:right w:val="single" w:color="000000" w:sz="4" w:space="0"/>
            </w:tcBorders>
            <w:vAlign w:val="center"/>
          </w:tcPr>
          <w:p w14:paraId="4816B48F">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产品支持以下功能：</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1.支持相同病种在医院不同科室的分析结果。指标类别和指标构成需同医院总体内容保持一致；</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2.支持科室DIP结算、非DIP结算病例科室层级的病种综合分析；</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3.支持科室、病种、盈亏情况、转科等快速筛选；</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4.支持下钻到主诊医师、病例明细层级分析明细；</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5.支持报表导出，并能自定义要分析的指标；</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6.支持统筹区、险种类型、患者医保身份、病例类型等不同筛选条件的分析。</w:t>
            </w:r>
          </w:p>
        </w:tc>
        <w:tc>
          <w:tcPr>
            <w:tcW w:w="530" w:type="pct"/>
            <w:tcBorders>
              <w:top w:val="single" w:color="000000" w:sz="4" w:space="0"/>
              <w:left w:val="single" w:color="000000" w:sz="4" w:space="0"/>
              <w:bottom w:val="single" w:color="000000" w:sz="4" w:space="0"/>
              <w:right w:val="single" w:color="000000" w:sz="4" w:space="0"/>
            </w:tcBorders>
            <w:vAlign w:val="center"/>
          </w:tcPr>
          <w:p w14:paraId="4501FE30">
            <w:pPr>
              <w:widowControl/>
              <w:jc w:val="left"/>
              <w:rPr>
                <w:rFonts w:ascii="宋体" w:hAnsi="宋体" w:eastAsia="宋体" w:cs="宋体"/>
                <w:color w:val="000000"/>
                <w:kern w:val="0"/>
                <w:szCs w:val="21"/>
              </w:rPr>
            </w:pPr>
          </w:p>
        </w:tc>
        <w:tc>
          <w:tcPr>
            <w:tcW w:w="590" w:type="pct"/>
            <w:tcBorders>
              <w:top w:val="single" w:color="000000" w:sz="4" w:space="0"/>
              <w:left w:val="single" w:color="000000" w:sz="4" w:space="0"/>
              <w:bottom w:val="single" w:color="000000" w:sz="4" w:space="0"/>
              <w:right w:val="single" w:color="000000" w:sz="4" w:space="0"/>
            </w:tcBorders>
            <w:vAlign w:val="center"/>
          </w:tcPr>
          <w:p w14:paraId="01AA4106">
            <w:pPr>
              <w:widowControl/>
              <w:jc w:val="left"/>
              <w:rPr>
                <w:rFonts w:ascii="宋体" w:hAnsi="宋体" w:eastAsia="宋体" w:cs="宋体"/>
                <w:color w:val="000000"/>
                <w:kern w:val="0"/>
                <w:szCs w:val="21"/>
              </w:rPr>
            </w:pPr>
          </w:p>
        </w:tc>
      </w:tr>
      <w:tr w14:paraId="65080CEB">
        <w:tblPrEx>
          <w:tblCellMar>
            <w:top w:w="0" w:type="dxa"/>
            <w:left w:w="108" w:type="dxa"/>
            <w:bottom w:w="0" w:type="dxa"/>
            <w:right w:w="108" w:type="dxa"/>
          </w:tblCellMar>
        </w:tblPrEx>
        <w:trPr>
          <w:trHeight w:val="2400" w:hRule="atLeast"/>
        </w:trPr>
        <w:tc>
          <w:tcPr>
            <w:tcW w:w="233" w:type="pct"/>
            <w:tcBorders>
              <w:top w:val="single" w:color="000000" w:sz="4" w:space="0"/>
              <w:left w:val="single" w:color="000000" w:sz="4" w:space="0"/>
              <w:bottom w:val="single" w:color="000000" w:sz="4" w:space="0"/>
              <w:right w:val="nil"/>
            </w:tcBorders>
            <w:vAlign w:val="center"/>
          </w:tcPr>
          <w:p w14:paraId="6305512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58</w:t>
            </w:r>
          </w:p>
        </w:tc>
        <w:tc>
          <w:tcPr>
            <w:tcW w:w="294" w:type="pct"/>
            <w:vMerge w:val="continue"/>
            <w:tcBorders>
              <w:top w:val="single" w:color="000000" w:sz="4" w:space="0"/>
              <w:left w:val="single" w:color="000000" w:sz="4" w:space="0"/>
              <w:bottom w:val="nil"/>
              <w:right w:val="single" w:color="000000" w:sz="4" w:space="0"/>
            </w:tcBorders>
            <w:vAlign w:val="center"/>
          </w:tcPr>
          <w:p w14:paraId="4C704972">
            <w:pPr>
              <w:widowControl/>
              <w:jc w:val="left"/>
              <w:rPr>
                <w:rFonts w:ascii="宋体" w:hAnsi="宋体" w:eastAsia="宋体" w:cs="宋体"/>
                <w:b/>
                <w:bCs/>
                <w:color w:val="000000"/>
                <w:kern w:val="0"/>
                <w:szCs w:val="21"/>
              </w:rPr>
            </w:pPr>
          </w:p>
        </w:tc>
        <w:tc>
          <w:tcPr>
            <w:tcW w:w="369" w:type="pct"/>
            <w:vMerge w:val="continue"/>
            <w:tcBorders>
              <w:top w:val="single" w:color="000000" w:sz="4" w:space="0"/>
              <w:left w:val="single" w:color="000000" w:sz="4" w:space="0"/>
              <w:bottom w:val="single" w:color="000000" w:sz="4" w:space="0"/>
              <w:right w:val="single" w:color="000000" w:sz="4" w:space="0"/>
            </w:tcBorders>
            <w:vAlign w:val="center"/>
          </w:tcPr>
          <w:p w14:paraId="0529C819">
            <w:pPr>
              <w:widowControl/>
              <w:jc w:val="left"/>
              <w:rPr>
                <w:rFonts w:ascii="宋体" w:hAnsi="宋体" w:eastAsia="宋体" w:cs="宋体"/>
                <w:color w:val="000000"/>
                <w:kern w:val="0"/>
                <w:szCs w:val="21"/>
              </w:rPr>
            </w:pPr>
          </w:p>
        </w:tc>
        <w:tc>
          <w:tcPr>
            <w:tcW w:w="429" w:type="pct"/>
            <w:tcBorders>
              <w:top w:val="single" w:color="000000" w:sz="4" w:space="0"/>
              <w:left w:val="single" w:color="000000" w:sz="4" w:space="0"/>
              <w:bottom w:val="single" w:color="000000" w:sz="4" w:space="0"/>
              <w:right w:val="single" w:color="000000" w:sz="4" w:space="0"/>
            </w:tcBorders>
            <w:vAlign w:val="center"/>
          </w:tcPr>
          <w:p w14:paraId="6514AB71">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主诊医师</w:t>
            </w:r>
          </w:p>
        </w:tc>
        <w:tc>
          <w:tcPr>
            <w:tcW w:w="2551" w:type="pct"/>
            <w:tcBorders>
              <w:top w:val="single" w:color="000000" w:sz="4" w:space="0"/>
              <w:left w:val="single" w:color="000000" w:sz="4" w:space="0"/>
              <w:bottom w:val="single" w:color="000000" w:sz="4" w:space="0"/>
              <w:right w:val="single" w:color="000000" w:sz="4" w:space="0"/>
            </w:tcBorders>
            <w:vAlign w:val="center"/>
          </w:tcPr>
          <w:p w14:paraId="79845939">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产品支持以下功能：</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1.支持相同病种在不同科室、不同医师交互下的分析结果。指标类别和指标构成需同医院总体内容保持一致；</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2.支持医师DIP结算、非DIP结算病例主诊医师层级的病种综合分析；</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3.支持主诊医师、病种、盈亏情况等快速筛选；</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4.支持下钻到病例明细层级分析明细；</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5.支持报表导出，并能自定义要分析的指标；</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6.支持统筹区、险种类型、患者医保身份、病例类型等不同筛选条件的分析。</w:t>
            </w:r>
          </w:p>
        </w:tc>
        <w:tc>
          <w:tcPr>
            <w:tcW w:w="530" w:type="pct"/>
            <w:tcBorders>
              <w:top w:val="single" w:color="000000" w:sz="4" w:space="0"/>
              <w:left w:val="single" w:color="000000" w:sz="4" w:space="0"/>
              <w:bottom w:val="single" w:color="000000" w:sz="4" w:space="0"/>
              <w:right w:val="single" w:color="000000" w:sz="4" w:space="0"/>
            </w:tcBorders>
            <w:vAlign w:val="center"/>
          </w:tcPr>
          <w:p w14:paraId="5743EE82">
            <w:pPr>
              <w:widowControl/>
              <w:jc w:val="left"/>
              <w:rPr>
                <w:rFonts w:ascii="宋体" w:hAnsi="宋体" w:eastAsia="宋体" w:cs="宋体"/>
                <w:color w:val="000000"/>
                <w:kern w:val="0"/>
                <w:szCs w:val="21"/>
              </w:rPr>
            </w:pPr>
          </w:p>
        </w:tc>
        <w:tc>
          <w:tcPr>
            <w:tcW w:w="590" w:type="pct"/>
            <w:tcBorders>
              <w:top w:val="single" w:color="000000" w:sz="4" w:space="0"/>
              <w:left w:val="single" w:color="000000" w:sz="4" w:space="0"/>
              <w:bottom w:val="single" w:color="000000" w:sz="4" w:space="0"/>
              <w:right w:val="single" w:color="000000" w:sz="4" w:space="0"/>
            </w:tcBorders>
            <w:vAlign w:val="center"/>
          </w:tcPr>
          <w:p w14:paraId="3F916548">
            <w:pPr>
              <w:widowControl/>
              <w:jc w:val="left"/>
              <w:rPr>
                <w:rFonts w:ascii="宋体" w:hAnsi="宋体" w:eastAsia="宋体" w:cs="宋体"/>
                <w:color w:val="000000"/>
                <w:kern w:val="0"/>
                <w:szCs w:val="21"/>
              </w:rPr>
            </w:pPr>
          </w:p>
        </w:tc>
      </w:tr>
      <w:tr w14:paraId="2F6C4108">
        <w:tblPrEx>
          <w:tblCellMar>
            <w:top w:w="0" w:type="dxa"/>
            <w:left w:w="108" w:type="dxa"/>
            <w:bottom w:w="0" w:type="dxa"/>
            <w:right w:w="108" w:type="dxa"/>
          </w:tblCellMar>
        </w:tblPrEx>
        <w:trPr>
          <w:trHeight w:val="1800" w:hRule="atLeast"/>
        </w:trPr>
        <w:tc>
          <w:tcPr>
            <w:tcW w:w="233" w:type="pct"/>
            <w:tcBorders>
              <w:top w:val="single" w:color="000000" w:sz="4" w:space="0"/>
              <w:left w:val="single" w:color="000000" w:sz="4" w:space="0"/>
              <w:bottom w:val="single" w:color="000000" w:sz="4" w:space="0"/>
              <w:right w:val="nil"/>
            </w:tcBorders>
            <w:vAlign w:val="center"/>
          </w:tcPr>
          <w:p w14:paraId="2DC272C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59</w:t>
            </w:r>
          </w:p>
        </w:tc>
        <w:tc>
          <w:tcPr>
            <w:tcW w:w="294" w:type="pct"/>
            <w:vMerge w:val="continue"/>
            <w:tcBorders>
              <w:top w:val="single" w:color="000000" w:sz="4" w:space="0"/>
              <w:left w:val="single" w:color="000000" w:sz="4" w:space="0"/>
              <w:bottom w:val="nil"/>
              <w:right w:val="single" w:color="000000" w:sz="4" w:space="0"/>
            </w:tcBorders>
            <w:vAlign w:val="center"/>
          </w:tcPr>
          <w:p w14:paraId="401647F6">
            <w:pPr>
              <w:widowControl/>
              <w:jc w:val="left"/>
              <w:rPr>
                <w:rFonts w:ascii="宋体" w:hAnsi="宋体" w:eastAsia="宋体" w:cs="宋体"/>
                <w:b/>
                <w:bCs/>
                <w:color w:val="000000"/>
                <w:kern w:val="0"/>
                <w:szCs w:val="21"/>
              </w:rPr>
            </w:pPr>
          </w:p>
        </w:tc>
        <w:tc>
          <w:tcPr>
            <w:tcW w:w="369" w:type="pct"/>
            <w:vMerge w:val="restart"/>
            <w:tcBorders>
              <w:top w:val="single" w:color="000000" w:sz="4" w:space="0"/>
              <w:left w:val="single" w:color="000000" w:sz="4" w:space="0"/>
              <w:bottom w:val="single" w:color="000000" w:sz="4" w:space="0"/>
              <w:right w:val="single" w:color="000000" w:sz="4" w:space="0"/>
            </w:tcBorders>
            <w:vAlign w:val="center"/>
          </w:tcPr>
          <w:p w14:paraId="7C42C57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在院监控</w:t>
            </w:r>
          </w:p>
        </w:tc>
        <w:tc>
          <w:tcPr>
            <w:tcW w:w="429" w:type="pct"/>
            <w:tcBorders>
              <w:top w:val="single" w:color="000000" w:sz="4" w:space="0"/>
              <w:left w:val="single" w:color="000000" w:sz="4" w:space="0"/>
              <w:bottom w:val="single" w:color="000000" w:sz="4" w:space="0"/>
              <w:right w:val="single" w:color="000000" w:sz="4" w:space="0"/>
            </w:tcBorders>
            <w:noWrap/>
            <w:vAlign w:val="center"/>
          </w:tcPr>
          <w:p w14:paraId="6F2789AA">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医院主体</w:t>
            </w:r>
          </w:p>
        </w:tc>
        <w:tc>
          <w:tcPr>
            <w:tcW w:w="2551" w:type="pct"/>
            <w:tcBorders>
              <w:top w:val="single" w:color="000000" w:sz="4" w:space="0"/>
              <w:left w:val="single" w:color="000000" w:sz="4" w:space="0"/>
              <w:bottom w:val="single" w:color="000000" w:sz="4" w:space="0"/>
              <w:right w:val="single" w:color="000000" w:sz="4" w:space="0"/>
            </w:tcBorders>
            <w:vAlign w:val="center"/>
          </w:tcPr>
          <w:p w14:paraId="3D349F9D">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对医院在院病例进行事中管理。</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1.在院病例整体监控，病例数、入组例数、填写诊断和未填写诊断数等；</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2.重点病例费用监控，对存在结算风险的病例滚动显示；</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3.未出院病例各科室和医生盈亏排名、病例类型组成分析等；</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4.在院病例预结算详情；</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5.支持是否DIP结算、统筹区、险种类型、患者医保身份等不同筛选条件的分析。</w:t>
            </w:r>
          </w:p>
        </w:tc>
        <w:tc>
          <w:tcPr>
            <w:tcW w:w="530" w:type="pct"/>
            <w:tcBorders>
              <w:top w:val="single" w:color="000000" w:sz="4" w:space="0"/>
              <w:left w:val="single" w:color="000000" w:sz="4" w:space="0"/>
              <w:bottom w:val="single" w:color="000000" w:sz="4" w:space="0"/>
              <w:right w:val="single" w:color="000000" w:sz="4" w:space="0"/>
            </w:tcBorders>
            <w:vAlign w:val="center"/>
          </w:tcPr>
          <w:p w14:paraId="12AE5CEF">
            <w:pPr>
              <w:widowControl/>
              <w:jc w:val="left"/>
              <w:rPr>
                <w:rFonts w:ascii="宋体" w:hAnsi="宋体" w:eastAsia="宋体" w:cs="宋体"/>
                <w:color w:val="000000"/>
                <w:kern w:val="0"/>
                <w:szCs w:val="21"/>
              </w:rPr>
            </w:pPr>
          </w:p>
        </w:tc>
        <w:tc>
          <w:tcPr>
            <w:tcW w:w="590" w:type="pct"/>
            <w:tcBorders>
              <w:top w:val="single" w:color="000000" w:sz="4" w:space="0"/>
              <w:left w:val="single" w:color="000000" w:sz="4" w:space="0"/>
              <w:bottom w:val="single" w:color="000000" w:sz="4" w:space="0"/>
              <w:right w:val="single" w:color="000000" w:sz="4" w:space="0"/>
            </w:tcBorders>
            <w:vAlign w:val="center"/>
          </w:tcPr>
          <w:p w14:paraId="73BB0E02">
            <w:pPr>
              <w:widowControl/>
              <w:jc w:val="left"/>
              <w:rPr>
                <w:rFonts w:ascii="宋体" w:hAnsi="宋体" w:eastAsia="宋体" w:cs="宋体"/>
                <w:color w:val="000000"/>
                <w:kern w:val="0"/>
                <w:szCs w:val="21"/>
              </w:rPr>
            </w:pPr>
          </w:p>
        </w:tc>
      </w:tr>
      <w:tr w14:paraId="64A874B7">
        <w:tblPrEx>
          <w:tblCellMar>
            <w:top w:w="0" w:type="dxa"/>
            <w:left w:w="108" w:type="dxa"/>
            <w:bottom w:w="0" w:type="dxa"/>
            <w:right w:w="108" w:type="dxa"/>
          </w:tblCellMar>
        </w:tblPrEx>
        <w:trPr>
          <w:trHeight w:val="600" w:hRule="atLeast"/>
        </w:trPr>
        <w:tc>
          <w:tcPr>
            <w:tcW w:w="233" w:type="pct"/>
            <w:tcBorders>
              <w:top w:val="single" w:color="000000" w:sz="4" w:space="0"/>
              <w:left w:val="single" w:color="000000" w:sz="4" w:space="0"/>
              <w:bottom w:val="single" w:color="000000" w:sz="4" w:space="0"/>
              <w:right w:val="nil"/>
            </w:tcBorders>
            <w:vAlign w:val="center"/>
          </w:tcPr>
          <w:p w14:paraId="4210969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60</w:t>
            </w:r>
          </w:p>
        </w:tc>
        <w:tc>
          <w:tcPr>
            <w:tcW w:w="294" w:type="pct"/>
            <w:vMerge w:val="continue"/>
            <w:tcBorders>
              <w:top w:val="single" w:color="000000" w:sz="4" w:space="0"/>
              <w:left w:val="single" w:color="000000" w:sz="4" w:space="0"/>
              <w:bottom w:val="nil"/>
              <w:right w:val="single" w:color="000000" w:sz="4" w:space="0"/>
            </w:tcBorders>
            <w:vAlign w:val="center"/>
          </w:tcPr>
          <w:p w14:paraId="3F2B33E1">
            <w:pPr>
              <w:widowControl/>
              <w:jc w:val="left"/>
              <w:rPr>
                <w:rFonts w:ascii="宋体" w:hAnsi="宋体" w:eastAsia="宋体" w:cs="宋体"/>
                <w:b/>
                <w:bCs/>
                <w:color w:val="000000"/>
                <w:kern w:val="0"/>
                <w:szCs w:val="21"/>
              </w:rPr>
            </w:pPr>
          </w:p>
        </w:tc>
        <w:tc>
          <w:tcPr>
            <w:tcW w:w="369" w:type="pct"/>
            <w:vMerge w:val="continue"/>
            <w:tcBorders>
              <w:top w:val="single" w:color="000000" w:sz="4" w:space="0"/>
              <w:left w:val="single" w:color="000000" w:sz="4" w:space="0"/>
              <w:bottom w:val="single" w:color="000000" w:sz="4" w:space="0"/>
              <w:right w:val="single" w:color="000000" w:sz="4" w:space="0"/>
            </w:tcBorders>
            <w:vAlign w:val="center"/>
          </w:tcPr>
          <w:p w14:paraId="3C673BC4">
            <w:pPr>
              <w:widowControl/>
              <w:jc w:val="left"/>
              <w:rPr>
                <w:rFonts w:ascii="宋体" w:hAnsi="宋体" w:eastAsia="宋体" w:cs="宋体"/>
                <w:color w:val="000000"/>
                <w:kern w:val="0"/>
                <w:szCs w:val="21"/>
              </w:rPr>
            </w:pPr>
          </w:p>
        </w:tc>
        <w:tc>
          <w:tcPr>
            <w:tcW w:w="429" w:type="pct"/>
            <w:tcBorders>
              <w:top w:val="single" w:color="000000" w:sz="4" w:space="0"/>
              <w:left w:val="single" w:color="000000" w:sz="4" w:space="0"/>
              <w:bottom w:val="single" w:color="000000" w:sz="4" w:space="0"/>
              <w:right w:val="single" w:color="000000" w:sz="4" w:space="0"/>
            </w:tcBorders>
            <w:noWrap/>
            <w:vAlign w:val="center"/>
          </w:tcPr>
          <w:p w14:paraId="14FD2768">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医院科室</w:t>
            </w:r>
          </w:p>
        </w:tc>
        <w:tc>
          <w:tcPr>
            <w:tcW w:w="2551" w:type="pct"/>
            <w:tcBorders>
              <w:top w:val="single" w:color="000000" w:sz="4" w:space="0"/>
              <w:left w:val="single" w:color="000000" w:sz="4" w:space="0"/>
              <w:bottom w:val="single" w:color="000000" w:sz="4" w:space="0"/>
              <w:right w:val="single" w:color="000000" w:sz="4" w:space="0"/>
            </w:tcBorders>
            <w:vAlign w:val="center"/>
          </w:tcPr>
          <w:p w14:paraId="0A9A1345">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医院各科室在院病例预结算详情等指标分析，支持是否DIP结算、统筹区、险种类型、患者医保身份等不同筛选条件的分析。</w:t>
            </w:r>
          </w:p>
        </w:tc>
        <w:tc>
          <w:tcPr>
            <w:tcW w:w="530" w:type="pct"/>
            <w:tcBorders>
              <w:top w:val="single" w:color="000000" w:sz="4" w:space="0"/>
              <w:left w:val="single" w:color="000000" w:sz="4" w:space="0"/>
              <w:bottom w:val="single" w:color="000000" w:sz="4" w:space="0"/>
              <w:right w:val="single" w:color="000000" w:sz="4" w:space="0"/>
            </w:tcBorders>
            <w:vAlign w:val="center"/>
          </w:tcPr>
          <w:p w14:paraId="2FCD1DCC">
            <w:pPr>
              <w:widowControl/>
              <w:jc w:val="left"/>
              <w:rPr>
                <w:rFonts w:ascii="宋体" w:hAnsi="宋体" w:eastAsia="宋体" w:cs="宋体"/>
                <w:color w:val="000000"/>
                <w:kern w:val="0"/>
                <w:szCs w:val="21"/>
              </w:rPr>
            </w:pPr>
          </w:p>
        </w:tc>
        <w:tc>
          <w:tcPr>
            <w:tcW w:w="590" w:type="pct"/>
            <w:tcBorders>
              <w:top w:val="single" w:color="000000" w:sz="4" w:space="0"/>
              <w:left w:val="single" w:color="000000" w:sz="4" w:space="0"/>
              <w:bottom w:val="single" w:color="000000" w:sz="4" w:space="0"/>
              <w:right w:val="single" w:color="000000" w:sz="4" w:space="0"/>
            </w:tcBorders>
            <w:vAlign w:val="center"/>
          </w:tcPr>
          <w:p w14:paraId="19272061">
            <w:pPr>
              <w:widowControl/>
              <w:jc w:val="left"/>
              <w:rPr>
                <w:rFonts w:ascii="宋体" w:hAnsi="宋体" w:eastAsia="宋体" w:cs="宋体"/>
                <w:color w:val="000000"/>
                <w:kern w:val="0"/>
                <w:szCs w:val="21"/>
              </w:rPr>
            </w:pPr>
          </w:p>
        </w:tc>
      </w:tr>
      <w:tr w14:paraId="5E60F3FD">
        <w:tblPrEx>
          <w:tblCellMar>
            <w:top w:w="0" w:type="dxa"/>
            <w:left w:w="108" w:type="dxa"/>
            <w:bottom w:w="0" w:type="dxa"/>
            <w:right w:w="108" w:type="dxa"/>
          </w:tblCellMar>
        </w:tblPrEx>
        <w:trPr>
          <w:trHeight w:val="600" w:hRule="atLeast"/>
        </w:trPr>
        <w:tc>
          <w:tcPr>
            <w:tcW w:w="233" w:type="pct"/>
            <w:tcBorders>
              <w:top w:val="single" w:color="000000" w:sz="4" w:space="0"/>
              <w:left w:val="single" w:color="000000" w:sz="4" w:space="0"/>
              <w:bottom w:val="single" w:color="000000" w:sz="4" w:space="0"/>
              <w:right w:val="nil"/>
            </w:tcBorders>
            <w:vAlign w:val="center"/>
          </w:tcPr>
          <w:p w14:paraId="7740A87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61</w:t>
            </w:r>
          </w:p>
        </w:tc>
        <w:tc>
          <w:tcPr>
            <w:tcW w:w="294" w:type="pct"/>
            <w:vMerge w:val="continue"/>
            <w:tcBorders>
              <w:top w:val="single" w:color="000000" w:sz="4" w:space="0"/>
              <w:left w:val="single" w:color="000000" w:sz="4" w:space="0"/>
              <w:bottom w:val="nil"/>
              <w:right w:val="single" w:color="000000" w:sz="4" w:space="0"/>
            </w:tcBorders>
            <w:vAlign w:val="center"/>
          </w:tcPr>
          <w:p w14:paraId="07EB12C2">
            <w:pPr>
              <w:widowControl/>
              <w:jc w:val="left"/>
              <w:rPr>
                <w:rFonts w:ascii="宋体" w:hAnsi="宋体" w:eastAsia="宋体" w:cs="宋体"/>
                <w:b/>
                <w:bCs/>
                <w:color w:val="000000"/>
                <w:kern w:val="0"/>
                <w:szCs w:val="21"/>
              </w:rPr>
            </w:pPr>
          </w:p>
        </w:tc>
        <w:tc>
          <w:tcPr>
            <w:tcW w:w="369" w:type="pct"/>
            <w:vMerge w:val="continue"/>
            <w:tcBorders>
              <w:top w:val="single" w:color="000000" w:sz="4" w:space="0"/>
              <w:left w:val="single" w:color="000000" w:sz="4" w:space="0"/>
              <w:bottom w:val="single" w:color="000000" w:sz="4" w:space="0"/>
              <w:right w:val="single" w:color="000000" w:sz="4" w:space="0"/>
            </w:tcBorders>
            <w:vAlign w:val="center"/>
          </w:tcPr>
          <w:p w14:paraId="77C6BDAD">
            <w:pPr>
              <w:widowControl/>
              <w:jc w:val="left"/>
              <w:rPr>
                <w:rFonts w:ascii="宋体" w:hAnsi="宋体" w:eastAsia="宋体" w:cs="宋体"/>
                <w:color w:val="000000"/>
                <w:kern w:val="0"/>
                <w:szCs w:val="21"/>
              </w:rPr>
            </w:pPr>
          </w:p>
        </w:tc>
        <w:tc>
          <w:tcPr>
            <w:tcW w:w="429" w:type="pct"/>
            <w:tcBorders>
              <w:top w:val="single" w:color="000000" w:sz="4" w:space="0"/>
              <w:left w:val="single" w:color="000000" w:sz="4" w:space="0"/>
              <w:bottom w:val="single" w:color="000000" w:sz="4" w:space="0"/>
              <w:right w:val="single" w:color="000000" w:sz="4" w:space="0"/>
            </w:tcBorders>
            <w:noWrap/>
            <w:vAlign w:val="center"/>
          </w:tcPr>
          <w:p w14:paraId="3A73227A">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主诊医师</w:t>
            </w:r>
          </w:p>
        </w:tc>
        <w:tc>
          <w:tcPr>
            <w:tcW w:w="2551" w:type="pct"/>
            <w:tcBorders>
              <w:top w:val="single" w:color="000000" w:sz="4" w:space="0"/>
              <w:left w:val="single" w:color="000000" w:sz="4" w:space="0"/>
              <w:bottom w:val="single" w:color="000000" w:sz="4" w:space="0"/>
              <w:right w:val="single" w:color="000000" w:sz="4" w:space="0"/>
            </w:tcBorders>
            <w:vAlign w:val="center"/>
          </w:tcPr>
          <w:p w14:paraId="016BB96C">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医院各主诊医师在院病例预结算详情等指标分析，支持是否DIP结算、统筹区、险种类型、患者医保身份等不同筛选条件的分析。</w:t>
            </w:r>
          </w:p>
        </w:tc>
        <w:tc>
          <w:tcPr>
            <w:tcW w:w="530" w:type="pct"/>
            <w:tcBorders>
              <w:top w:val="single" w:color="000000" w:sz="4" w:space="0"/>
              <w:left w:val="single" w:color="000000" w:sz="4" w:space="0"/>
              <w:bottom w:val="single" w:color="000000" w:sz="4" w:space="0"/>
              <w:right w:val="single" w:color="000000" w:sz="4" w:space="0"/>
            </w:tcBorders>
            <w:vAlign w:val="center"/>
          </w:tcPr>
          <w:p w14:paraId="496A2392">
            <w:pPr>
              <w:widowControl/>
              <w:jc w:val="left"/>
              <w:rPr>
                <w:rFonts w:ascii="宋体" w:hAnsi="宋体" w:eastAsia="宋体" w:cs="宋体"/>
                <w:color w:val="000000"/>
                <w:kern w:val="0"/>
                <w:szCs w:val="21"/>
              </w:rPr>
            </w:pPr>
          </w:p>
        </w:tc>
        <w:tc>
          <w:tcPr>
            <w:tcW w:w="590" w:type="pct"/>
            <w:tcBorders>
              <w:top w:val="single" w:color="000000" w:sz="4" w:space="0"/>
              <w:left w:val="single" w:color="000000" w:sz="4" w:space="0"/>
              <w:bottom w:val="single" w:color="000000" w:sz="4" w:space="0"/>
              <w:right w:val="single" w:color="000000" w:sz="4" w:space="0"/>
            </w:tcBorders>
            <w:vAlign w:val="center"/>
          </w:tcPr>
          <w:p w14:paraId="3431DBE1">
            <w:pPr>
              <w:widowControl/>
              <w:jc w:val="left"/>
              <w:rPr>
                <w:rFonts w:ascii="宋体" w:hAnsi="宋体" w:eastAsia="宋体" w:cs="宋体"/>
                <w:color w:val="000000"/>
                <w:kern w:val="0"/>
                <w:szCs w:val="21"/>
              </w:rPr>
            </w:pPr>
          </w:p>
        </w:tc>
      </w:tr>
      <w:tr w14:paraId="724FCAAC">
        <w:tblPrEx>
          <w:tblCellMar>
            <w:top w:w="0" w:type="dxa"/>
            <w:left w:w="108" w:type="dxa"/>
            <w:bottom w:w="0" w:type="dxa"/>
            <w:right w:w="108" w:type="dxa"/>
          </w:tblCellMar>
        </w:tblPrEx>
        <w:trPr>
          <w:trHeight w:val="600" w:hRule="atLeast"/>
        </w:trPr>
        <w:tc>
          <w:tcPr>
            <w:tcW w:w="233" w:type="pct"/>
            <w:tcBorders>
              <w:top w:val="single" w:color="000000" w:sz="4" w:space="0"/>
              <w:left w:val="single" w:color="000000" w:sz="4" w:space="0"/>
              <w:bottom w:val="single" w:color="000000" w:sz="4" w:space="0"/>
              <w:right w:val="nil"/>
            </w:tcBorders>
            <w:vAlign w:val="center"/>
          </w:tcPr>
          <w:p w14:paraId="28214DF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62</w:t>
            </w:r>
          </w:p>
        </w:tc>
        <w:tc>
          <w:tcPr>
            <w:tcW w:w="294" w:type="pct"/>
            <w:vMerge w:val="continue"/>
            <w:tcBorders>
              <w:top w:val="single" w:color="000000" w:sz="4" w:space="0"/>
              <w:left w:val="single" w:color="000000" w:sz="4" w:space="0"/>
              <w:bottom w:val="nil"/>
              <w:right w:val="single" w:color="000000" w:sz="4" w:space="0"/>
            </w:tcBorders>
            <w:vAlign w:val="center"/>
          </w:tcPr>
          <w:p w14:paraId="5E9B5A00">
            <w:pPr>
              <w:widowControl/>
              <w:jc w:val="left"/>
              <w:rPr>
                <w:rFonts w:ascii="宋体" w:hAnsi="宋体" w:eastAsia="宋体" w:cs="宋体"/>
                <w:b/>
                <w:bCs/>
                <w:color w:val="000000"/>
                <w:kern w:val="0"/>
                <w:szCs w:val="21"/>
              </w:rPr>
            </w:pPr>
          </w:p>
        </w:tc>
        <w:tc>
          <w:tcPr>
            <w:tcW w:w="369" w:type="pct"/>
            <w:vMerge w:val="continue"/>
            <w:tcBorders>
              <w:top w:val="single" w:color="000000" w:sz="4" w:space="0"/>
              <w:left w:val="single" w:color="000000" w:sz="4" w:space="0"/>
              <w:bottom w:val="single" w:color="000000" w:sz="4" w:space="0"/>
              <w:right w:val="single" w:color="000000" w:sz="4" w:space="0"/>
            </w:tcBorders>
            <w:vAlign w:val="center"/>
          </w:tcPr>
          <w:p w14:paraId="2080E024">
            <w:pPr>
              <w:widowControl/>
              <w:jc w:val="left"/>
              <w:rPr>
                <w:rFonts w:ascii="宋体" w:hAnsi="宋体" w:eastAsia="宋体" w:cs="宋体"/>
                <w:color w:val="000000"/>
                <w:kern w:val="0"/>
                <w:szCs w:val="21"/>
              </w:rPr>
            </w:pPr>
          </w:p>
        </w:tc>
        <w:tc>
          <w:tcPr>
            <w:tcW w:w="429" w:type="pct"/>
            <w:tcBorders>
              <w:top w:val="single" w:color="000000" w:sz="4" w:space="0"/>
              <w:left w:val="single" w:color="000000" w:sz="4" w:space="0"/>
              <w:bottom w:val="single" w:color="000000" w:sz="4" w:space="0"/>
              <w:right w:val="single" w:color="000000" w:sz="4" w:space="0"/>
            </w:tcBorders>
            <w:noWrap/>
            <w:vAlign w:val="center"/>
          </w:tcPr>
          <w:p w14:paraId="42D18367">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病种分析</w:t>
            </w:r>
          </w:p>
        </w:tc>
        <w:tc>
          <w:tcPr>
            <w:tcW w:w="2551" w:type="pct"/>
            <w:tcBorders>
              <w:top w:val="single" w:color="000000" w:sz="4" w:space="0"/>
              <w:left w:val="single" w:color="000000" w:sz="4" w:space="0"/>
              <w:bottom w:val="single" w:color="000000" w:sz="4" w:space="0"/>
              <w:right w:val="single" w:color="000000" w:sz="4" w:space="0"/>
            </w:tcBorders>
            <w:vAlign w:val="center"/>
          </w:tcPr>
          <w:p w14:paraId="791D69E8">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在院状态病例入组的病种维度分析，包含入组基本信息、预结算详情等指标分析，支持是否DIP结算、统筹区、险种类型、患者医保身份等不同筛选条件的分析。</w:t>
            </w:r>
          </w:p>
        </w:tc>
        <w:tc>
          <w:tcPr>
            <w:tcW w:w="530" w:type="pct"/>
            <w:tcBorders>
              <w:top w:val="single" w:color="000000" w:sz="4" w:space="0"/>
              <w:left w:val="single" w:color="000000" w:sz="4" w:space="0"/>
              <w:bottom w:val="single" w:color="000000" w:sz="4" w:space="0"/>
              <w:right w:val="single" w:color="000000" w:sz="4" w:space="0"/>
            </w:tcBorders>
            <w:vAlign w:val="center"/>
          </w:tcPr>
          <w:p w14:paraId="02D004C8">
            <w:pPr>
              <w:widowControl/>
              <w:jc w:val="left"/>
              <w:rPr>
                <w:rFonts w:ascii="宋体" w:hAnsi="宋体" w:eastAsia="宋体" w:cs="宋体"/>
                <w:color w:val="000000"/>
                <w:kern w:val="0"/>
                <w:szCs w:val="21"/>
              </w:rPr>
            </w:pPr>
          </w:p>
        </w:tc>
        <w:tc>
          <w:tcPr>
            <w:tcW w:w="590" w:type="pct"/>
            <w:tcBorders>
              <w:top w:val="single" w:color="000000" w:sz="4" w:space="0"/>
              <w:left w:val="single" w:color="000000" w:sz="4" w:space="0"/>
              <w:bottom w:val="single" w:color="000000" w:sz="4" w:space="0"/>
              <w:right w:val="single" w:color="000000" w:sz="4" w:space="0"/>
            </w:tcBorders>
            <w:vAlign w:val="center"/>
          </w:tcPr>
          <w:p w14:paraId="31C442BC">
            <w:pPr>
              <w:widowControl/>
              <w:jc w:val="left"/>
              <w:rPr>
                <w:rFonts w:ascii="宋体" w:hAnsi="宋体" w:eastAsia="宋体" w:cs="宋体"/>
                <w:color w:val="000000"/>
                <w:kern w:val="0"/>
                <w:szCs w:val="21"/>
              </w:rPr>
            </w:pPr>
          </w:p>
        </w:tc>
      </w:tr>
      <w:tr w14:paraId="576236F1">
        <w:tblPrEx>
          <w:tblCellMar>
            <w:top w:w="0" w:type="dxa"/>
            <w:left w:w="108" w:type="dxa"/>
            <w:bottom w:w="0" w:type="dxa"/>
            <w:right w:w="108" w:type="dxa"/>
          </w:tblCellMar>
        </w:tblPrEx>
        <w:trPr>
          <w:trHeight w:val="300" w:hRule="atLeast"/>
        </w:trPr>
        <w:tc>
          <w:tcPr>
            <w:tcW w:w="233" w:type="pct"/>
            <w:tcBorders>
              <w:top w:val="single" w:color="000000" w:sz="4" w:space="0"/>
              <w:left w:val="single" w:color="000000" w:sz="4" w:space="0"/>
              <w:bottom w:val="single" w:color="000000" w:sz="4" w:space="0"/>
              <w:right w:val="nil"/>
            </w:tcBorders>
            <w:vAlign w:val="center"/>
          </w:tcPr>
          <w:p w14:paraId="50BF095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63</w:t>
            </w:r>
          </w:p>
        </w:tc>
        <w:tc>
          <w:tcPr>
            <w:tcW w:w="294" w:type="pct"/>
            <w:vMerge w:val="continue"/>
            <w:tcBorders>
              <w:top w:val="single" w:color="000000" w:sz="4" w:space="0"/>
              <w:left w:val="single" w:color="000000" w:sz="4" w:space="0"/>
              <w:bottom w:val="nil"/>
              <w:right w:val="single" w:color="000000" w:sz="4" w:space="0"/>
            </w:tcBorders>
            <w:vAlign w:val="center"/>
          </w:tcPr>
          <w:p w14:paraId="616EDF80">
            <w:pPr>
              <w:widowControl/>
              <w:jc w:val="left"/>
              <w:rPr>
                <w:rFonts w:ascii="宋体" w:hAnsi="宋体" w:eastAsia="宋体" w:cs="宋体"/>
                <w:b/>
                <w:bCs/>
                <w:color w:val="000000"/>
                <w:kern w:val="0"/>
                <w:szCs w:val="21"/>
              </w:rPr>
            </w:pPr>
          </w:p>
        </w:tc>
        <w:tc>
          <w:tcPr>
            <w:tcW w:w="369" w:type="pct"/>
            <w:vMerge w:val="continue"/>
            <w:tcBorders>
              <w:top w:val="single" w:color="000000" w:sz="4" w:space="0"/>
              <w:left w:val="single" w:color="000000" w:sz="4" w:space="0"/>
              <w:bottom w:val="single" w:color="000000" w:sz="4" w:space="0"/>
              <w:right w:val="single" w:color="000000" w:sz="4" w:space="0"/>
            </w:tcBorders>
            <w:vAlign w:val="center"/>
          </w:tcPr>
          <w:p w14:paraId="1337D537">
            <w:pPr>
              <w:widowControl/>
              <w:jc w:val="left"/>
              <w:rPr>
                <w:rFonts w:ascii="宋体" w:hAnsi="宋体" w:eastAsia="宋体" w:cs="宋体"/>
                <w:color w:val="000000"/>
                <w:kern w:val="0"/>
                <w:szCs w:val="21"/>
              </w:rPr>
            </w:pPr>
          </w:p>
        </w:tc>
        <w:tc>
          <w:tcPr>
            <w:tcW w:w="429" w:type="pct"/>
            <w:tcBorders>
              <w:top w:val="single" w:color="000000" w:sz="4" w:space="0"/>
              <w:left w:val="single" w:color="000000" w:sz="4" w:space="0"/>
              <w:bottom w:val="single" w:color="000000" w:sz="4" w:space="0"/>
              <w:right w:val="single" w:color="000000" w:sz="4" w:space="0"/>
            </w:tcBorders>
            <w:noWrap/>
            <w:vAlign w:val="center"/>
          </w:tcPr>
          <w:p w14:paraId="44B9D29F">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病例查询</w:t>
            </w:r>
          </w:p>
        </w:tc>
        <w:tc>
          <w:tcPr>
            <w:tcW w:w="2551" w:type="pct"/>
            <w:tcBorders>
              <w:top w:val="single" w:color="000000" w:sz="4" w:space="0"/>
              <w:left w:val="single" w:color="000000" w:sz="4" w:space="0"/>
              <w:bottom w:val="single" w:color="000000" w:sz="4" w:space="0"/>
              <w:right w:val="single" w:color="000000" w:sz="4" w:space="0"/>
            </w:tcBorders>
            <w:noWrap/>
            <w:vAlign w:val="center"/>
          </w:tcPr>
          <w:p w14:paraId="63F6A627">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在院病例详情查询，支持是否DIP结算、统筹区、险种类型、患者医保身份等不同筛选条件的分析。</w:t>
            </w:r>
          </w:p>
        </w:tc>
        <w:tc>
          <w:tcPr>
            <w:tcW w:w="530" w:type="pct"/>
            <w:tcBorders>
              <w:top w:val="single" w:color="000000" w:sz="4" w:space="0"/>
              <w:left w:val="single" w:color="000000" w:sz="4" w:space="0"/>
              <w:bottom w:val="single" w:color="000000" w:sz="4" w:space="0"/>
              <w:right w:val="single" w:color="000000" w:sz="4" w:space="0"/>
            </w:tcBorders>
            <w:noWrap/>
            <w:vAlign w:val="center"/>
          </w:tcPr>
          <w:p w14:paraId="0957C56E">
            <w:pPr>
              <w:widowControl/>
              <w:jc w:val="left"/>
              <w:rPr>
                <w:rFonts w:ascii="宋体" w:hAnsi="宋体" w:eastAsia="宋体" w:cs="宋体"/>
                <w:color w:val="000000"/>
                <w:kern w:val="0"/>
                <w:szCs w:val="21"/>
              </w:rPr>
            </w:pPr>
          </w:p>
        </w:tc>
        <w:tc>
          <w:tcPr>
            <w:tcW w:w="590" w:type="pct"/>
            <w:tcBorders>
              <w:top w:val="single" w:color="000000" w:sz="4" w:space="0"/>
              <w:left w:val="single" w:color="000000" w:sz="4" w:space="0"/>
              <w:bottom w:val="single" w:color="000000" w:sz="4" w:space="0"/>
              <w:right w:val="single" w:color="000000" w:sz="4" w:space="0"/>
            </w:tcBorders>
            <w:noWrap/>
            <w:vAlign w:val="center"/>
          </w:tcPr>
          <w:p w14:paraId="15476AF2">
            <w:pPr>
              <w:widowControl/>
              <w:jc w:val="left"/>
              <w:rPr>
                <w:rFonts w:ascii="宋体" w:hAnsi="宋体" w:eastAsia="宋体" w:cs="宋体"/>
                <w:color w:val="000000"/>
                <w:kern w:val="0"/>
                <w:szCs w:val="21"/>
              </w:rPr>
            </w:pPr>
          </w:p>
        </w:tc>
      </w:tr>
      <w:tr w14:paraId="5EDC31BF">
        <w:tblPrEx>
          <w:tblCellMar>
            <w:top w:w="0" w:type="dxa"/>
            <w:left w:w="108" w:type="dxa"/>
            <w:bottom w:w="0" w:type="dxa"/>
            <w:right w:w="108" w:type="dxa"/>
          </w:tblCellMar>
        </w:tblPrEx>
        <w:trPr>
          <w:trHeight w:val="2700" w:hRule="atLeast"/>
        </w:trPr>
        <w:tc>
          <w:tcPr>
            <w:tcW w:w="233" w:type="pct"/>
            <w:tcBorders>
              <w:top w:val="single" w:color="000000" w:sz="4" w:space="0"/>
              <w:left w:val="single" w:color="000000" w:sz="4" w:space="0"/>
              <w:bottom w:val="single" w:color="000000" w:sz="4" w:space="0"/>
              <w:right w:val="nil"/>
            </w:tcBorders>
            <w:vAlign w:val="center"/>
          </w:tcPr>
          <w:p w14:paraId="202B744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64</w:t>
            </w:r>
          </w:p>
        </w:tc>
        <w:tc>
          <w:tcPr>
            <w:tcW w:w="294" w:type="pct"/>
            <w:vMerge w:val="continue"/>
            <w:tcBorders>
              <w:top w:val="single" w:color="000000" w:sz="4" w:space="0"/>
              <w:left w:val="single" w:color="000000" w:sz="4" w:space="0"/>
              <w:bottom w:val="nil"/>
              <w:right w:val="single" w:color="000000" w:sz="4" w:space="0"/>
            </w:tcBorders>
            <w:vAlign w:val="center"/>
          </w:tcPr>
          <w:p w14:paraId="6487E46A">
            <w:pPr>
              <w:widowControl/>
              <w:jc w:val="left"/>
              <w:rPr>
                <w:rFonts w:ascii="宋体" w:hAnsi="宋体" w:eastAsia="宋体" w:cs="宋体"/>
                <w:b/>
                <w:bCs/>
                <w:color w:val="000000"/>
                <w:kern w:val="0"/>
                <w:szCs w:val="21"/>
              </w:rPr>
            </w:pPr>
          </w:p>
        </w:tc>
        <w:tc>
          <w:tcPr>
            <w:tcW w:w="369" w:type="pct"/>
            <w:vMerge w:val="restart"/>
            <w:tcBorders>
              <w:top w:val="single" w:color="000000" w:sz="4" w:space="0"/>
              <w:left w:val="single" w:color="000000" w:sz="4" w:space="0"/>
              <w:bottom w:val="single" w:color="000000" w:sz="4" w:space="0"/>
              <w:right w:val="single" w:color="000000" w:sz="4" w:space="0"/>
            </w:tcBorders>
            <w:vAlign w:val="center"/>
          </w:tcPr>
          <w:p w14:paraId="7772526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监管考核</w:t>
            </w:r>
          </w:p>
        </w:tc>
        <w:tc>
          <w:tcPr>
            <w:tcW w:w="429" w:type="pct"/>
            <w:tcBorders>
              <w:top w:val="single" w:color="000000" w:sz="4" w:space="0"/>
              <w:left w:val="single" w:color="000000" w:sz="4" w:space="0"/>
              <w:bottom w:val="single" w:color="000000" w:sz="4" w:space="0"/>
              <w:right w:val="single" w:color="000000" w:sz="4" w:space="0"/>
            </w:tcBorders>
            <w:vAlign w:val="center"/>
          </w:tcPr>
          <w:p w14:paraId="06CF6CC1">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医院总体</w:t>
            </w:r>
          </w:p>
        </w:tc>
        <w:tc>
          <w:tcPr>
            <w:tcW w:w="2551" w:type="pct"/>
            <w:tcBorders>
              <w:top w:val="single" w:color="000000" w:sz="4" w:space="0"/>
              <w:left w:val="single" w:color="000000" w:sz="4" w:space="0"/>
              <w:bottom w:val="single" w:color="000000" w:sz="4" w:space="0"/>
              <w:right w:val="single" w:color="000000" w:sz="4" w:space="0"/>
            </w:tcBorders>
            <w:vAlign w:val="center"/>
          </w:tcPr>
          <w:p w14:paraId="44E3A04B">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产品支持以下功能：</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1.支持多个医院整体的指标考核及基金监管考核结果，包含每月度的时间序列分析。指标类别应包括医疗服务能力、质量和安全、医疗效率、运营指标、基金监管等的评价，指标包括不限于CMI、平均诊断/手术个数、手术患者占比、日间手术占比、低风险死亡率、15日再入院率、未入组病例数、时间/费用消耗指数、个人负担比例、药占比、耗占比、体检住院、取药住院。</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支持以下功能和操作：</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2.支持DIP结算、非DIP结算病例的监管考核指标分析；</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3.支持指标注释和展示指标计算结构，并能下钻到具体病例；</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4.各指标可导出，并能自定义导出指标。</w:t>
            </w:r>
          </w:p>
        </w:tc>
        <w:tc>
          <w:tcPr>
            <w:tcW w:w="530" w:type="pct"/>
            <w:tcBorders>
              <w:top w:val="single" w:color="000000" w:sz="4" w:space="0"/>
              <w:left w:val="single" w:color="000000" w:sz="4" w:space="0"/>
              <w:bottom w:val="single" w:color="000000" w:sz="4" w:space="0"/>
              <w:right w:val="single" w:color="000000" w:sz="4" w:space="0"/>
            </w:tcBorders>
            <w:vAlign w:val="center"/>
          </w:tcPr>
          <w:p w14:paraId="3EA40A0F">
            <w:pPr>
              <w:widowControl/>
              <w:jc w:val="left"/>
              <w:rPr>
                <w:rFonts w:ascii="宋体" w:hAnsi="宋体" w:eastAsia="宋体" w:cs="宋体"/>
                <w:color w:val="000000"/>
                <w:kern w:val="0"/>
                <w:szCs w:val="21"/>
              </w:rPr>
            </w:pPr>
          </w:p>
        </w:tc>
        <w:tc>
          <w:tcPr>
            <w:tcW w:w="590" w:type="pct"/>
            <w:tcBorders>
              <w:top w:val="single" w:color="000000" w:sz="4" w:space="0"/>
              <w:left w:val="single" w:color="000000" w:sz="4" w:space="0"/>
              <w:bottom w:val="single" w:color="000000" w:sz="4" w:space="0"/>
              <w:right w:val="single" w:color="000000" w:sz="4" w:space="0"/>
            </w:tcBorders>
            <w:vAlign w:val="center"/>
          </w:tcPr>
          <w:p w14:paraId="698393C0">
            <w:pPr>
              <w:widowControl/>
              <w:jc w:val="left"/>
              <w:rPr>
                <w:rFonts w:ascii="宋体" w:hAnsi="宋体" w:eastAsia="宋体" w:cs="宋体"/>
                <w:color w:val="000000"/>
                <w:kern w:val="0"/>
                <w:szCs w:val="21"/>
              </w:rPr>
            </w:pPr>
          </w:p>
        </w:tc>
      </w:tr>
      <w:tr w14:paraId="43DA1A86">
        <w:tblPrEx>
          <w:tblCellMar>
            <w:top w:w="0" w:type="dxa"/>
            <w:left w:w="108" w:type="dxa"/>
            <w:bottom w:w="0" w:type="dxa"/>
            <w:right w:w="108" w:type="dxa"/>
          </w:tblCellMar>
        </w:tblPrEx>
        <w:trPr>
          <w:trHeight w:val="2100" w:hRule="atLeast"/>
        </w:trPr>
        <w:tc>
          <w:tcPr>
            <w:tcW w:w="233" w:type="pct"/>
            <w:tcBorders>
              <w:top w:val="single" w:color="000000" w:sz="4" w:space="0"/>
              <w:left w:val="single" w:color="000000" w:sz="4" w:space="0"/>
              <w:bottom w:val="single" w:color="000000" w:sz="4" w:space="0"/>
              <w:right w:val="nil"/>
            </w:tcBorders>
            <w:vAlign w:val="center"/>
          </w:tcPr>
          <w:p w14:paraId="2790915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65</w:t>
            </w:r>
          </w:p>
        </w:tc>
        <w:tc>
          <w:tcPr>
            <w:tcW w:w="294" w:type="pct"/>
            <w:vMerge w:val="continue"/>
            <w:tcBorders>
              <w:top w:val="single" w:color="000000" w:sz="4" w:space="0"/>
              <w:left w:val="single" w:color="000000" w:sz="4" w:space="0"/>
              <w:bottom w:val="nil"/>
              <w:right w:val="single" w:color="000000" w:sz="4" w:space="0"/>
            </w:tcBorders>
            <w:vAlign w:val="center"/>
          </w:tcPr>
          <w:p w14:paraId="7DC01B10">
            <w:pPr>
              <w:widowControl/>
              <w:jc w:val="left"/>
              <w:rPr>
                <w:rFonts w:ascii="宋体" w:hAnsi="宋体" w:eastAsia="宋体" w:cs="宋体"/>
                <w:b/>
                <w:bCs/>
                <w:color w:val="000000"/>
                <w:kern w:val="0"/>
                <w:szCs w:val="21"/>
              </w:rPr>
            </w:pPr>
          </w:p>
        </w:tc>
        <w:tc>
          <w:tcPr>
            <w:tcW w:w="369" w:type="pct"/>
            <w:vMerge w:val="continue"/>
            <w:tcBorders>
              <w:top w:val="single" w:color="000000" w:sz="4" w:space="0"/>
              <w:left w:val="single" w:color="000000" w:sz="4" w:space="0"/>
              <w:bottom w:val="single" w:color="000000" w:sz="4" w:space="0"/>
              <w:right w:val="single" w:color="000000" w:sz="4" w:space="0"/>
            </w:tcBorders>
            <w:vAlign w:val="center"/>
          </w:tcPr>
          <w:p w14:paraId="7B2E0684">
            <w:pPr>
              <w:widowControl/>
              <w:jc w:val="left"/>
              <w:rPr>
                <w:rFonts w:ascii="宋体" w:hAnsi="宋体" w:eastAsia="宋体" w:cs="宋体"/>
                <w:color w:val="000000"/>
                <w:kern w:val="0"/>
                <w:szCs w:val="21"/>
              </w:rPr>
            </w:pPr>
          </w:p>
        </w:tc>
        <w:tc>
          <w:tcPr>
            <w:tcW w:w="429" w:type="pct"/>
            <w:tcBorders>
              <w:top w:val="single" w:color="000000" w:sz="4" w:space="0"/>
              <w:left w:val="single" w:color="000000" w:sz="4" w:space="0"/>
              <w:bottom w:val="single" w:color="000000" w:sz="4" w:space="0"/>
              <w:right w:val="single" w:color="000000" w:sz="4" w:space="0"/>
            </w:tcBorders>
            <w:vAlign w:val="center"/>
          </w:tcPr>
          <w:p w14:paraId="6AB41F06">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医院科室</w:t>
            </w:r>
          </w:p>
        </w:tc>
        <w:tc>
          <w:tcPr>
            <w:tcW w:w="2551" w:type="pct"/>
            <w:tcBorders>
              <w:top w:val="single" w:color="000000" w:sz="4" w:space="0"/>
              <w:left w:val="single" w:color="000000" w:sz="4" w:space="0"/>
              <w:bottom w:val="single" w:color="000000" w:sz="4" w:space="0"/>
              <w:right w:val="single" w:color="000000" w:sz="4" w:space="0"/>
            </w:tcBorders>
            <w:vAlign w:val="center"/>
          </w:tcPr>
          <w:p w14:paraId="5876EE4A">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产品支持以下功能：</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1.支持全院及各科室的指标考核及基金监管考核结果，用于科室横向比较。指标类别和指标构成需同医院总体内容保持一致。</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支持以下功能和操作：</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2.支持DIP结算、非DIP结算病例下各科室的监管考核指标分析；</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3.支持指标注释和展示指标计算结构，并能下钻到具体病例；</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4.各指标可导出，并能自定义导出指标。</w:t>
            </w:r>
          </w:p>
        </w:tc>
        <w:tc>
          <w:tcPr>
            <w:tcW w:w="530" w:type="pct"/>
            <w:tcBorders>
              <w:top w:val="single" w:color="000000" w:sz="4" w:space="0"/>
              <w:left w:val="single" w:color="000000" w:sz="4" w:space="0"/>
              <w:bottom w:val="single" w:color="000000" w:sz="4" w:space="0"/>
              <w:right w:val="single" w:color="000000" w:sz="4" w:space="0"/>
            </w:tcBorders>
            <w:vAlign w:val="center"/>
          </w:tcPr>
          <w:p w14:paraId="10C8480F">
            <w:pPr>
              <w:widowControl/>
              <w:jc w:val="left"/>
              <w:rPr>
                <w:rFonts w:ascii="宋体" w:hAnsi="宋体" w:eastAsia="宋体" w:cs="宋体"/>
                <w:color w:val="000000"/>
                <w:kern w:val="0"/>
                <w:szCs w:val="21"/>
              </w:rPr>
            </w:pPr>
          </w:p>
        </w:tc>
        <w:tc>
          <w:tcPr>
            <w:tcW w:w="590" w:type="pct"/>
            <w:tcBorders>
              <w:top w:val="single" w:color="000000" w:sz="4" w:space="0"/>
              <w:left w:val="single" w:color="000000" w:sz="4" w:space="0"/>
              <w:bottom w:val="single" w:color="000000" w:sz="4" w:space="0"/>
              <w:right w:val="single" w:color="000000" w:sz="4" w:space="0"/>
            </w:tcBorders>
            <w:vAlign w:val="center"/>
          </w:tcPr>
          <w:p w14:paraId="58C55DD8">
            <w:pPr>
              <w:widowControl/>
              <w:jc w:val="left"/>
              <w:rPr>
                <w:rFonts w:ascii="宋体" w:hAnsi="宋体" w:eastAsia="宋体" w:cs="宋体"/>
                <w:color w:val="000000"/>
                <w:kern w:val="0"/>
                <w:szCs w:val="21"/>
              </w:rPr>
            </w:pPr>
          </w:p>
        </w:tc>
      </w:tr>
      <w:tr w14:paraId="6CAB382F">
        <w:tblPrEx>
          <w:tblCellMar>
            <w:top w:w="0" w:type="dxa"/>
            <w:left w:w="108" w:type="dxa"/>
            <w:bottom w:w="0" w:type="dxa"/>
            <w:right w:w="108" w:type="dxa"/>
          </w:tblCellMar>
        </w:tblPrEx>
        <w:trPr>
          <w:trHeight w:val="1660" w:hRule="atLeast"/>
        </w:trPr>
        <w:tc>
          <w:tcPr>
            <w:tcW w:w="233" w:type="pct"/>
            <w:tcBorders>
              <w:top w:val="single" w:color="000000" w:sz="4" w:space="0"/>
              <w:left w:val="single" w:color="000000" w:sz="4" w:space="0"/>
              <w:bottom w:val="single" w:color="000000" w:sz="4" w:space="0"/>
              <w:right w:val="nil"/>
            </w:tcBorders>
            <w:vAlign w:val="center"/>
          </w:tcPr>
          <w:p w14:paraId="4A62682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66</w:t>
            </w:r>
          </w:p>
        </w:tc>
        <w:tc>
          <w:tcPr>
            <w:tcW w:w="294" w:type="pct"/>
            <w:vMerge w:val="continue"/>
            <w:tcBorders>
              <w:top w:val="single" w:color="000000" w:sz="4" w:space="0"/>
              <w:left w:val="single" w:color="000000" w:sz="4" w:space="0"/>
              <w:bottom w:val="nil"/>
              <w:right w:val="single" w:color="000000" w:sz="4" w:space="0"/>
            </w:tcBorders>
            <w:vAlign w:val="center"/>
          </w:tcPr>
          <w:p w14:paraId="06D6D1B7">
            <w:pPr>
              <w:widowControl/>
              <w:jc w:val="left"/>
              <w:rPr>
                <w:rFonts w:ascii="宋体" w:hAnsi="宋体" w:eastAsia="宋体" w:cs="宋体"/>
                <w:b/>
                <w:bCs/>
                <w:color w:val="000000"/>
                <w:kern w:val="0"/>
                <w:szCs w:val="21"/>
              </w:rPr>
            </w:pPr>
          </w:p>
        </w:tc>
        <w:tc>
          <w:tcPr>
            <w:tcW w:w="369" w:type="pct"/>
            <w:tcBorders>
              <w:top w:val="single" w:color="000000" w:sz="4" w:space="0"/>
              <w:left w:val="single" w:color="000000" w:sz="4" w:space="0"/>
              <w:bottom w:val="single" w:color="000000" w:sz="4" w:space="0"/>
              <w:right w:val="single" w:color="000000" w:sz="4" w:space="0"/>
            </w:tcBorders>
            <w:vAlign w:val="center"/>
          </w:tcPr>
          <w:p w14:paraId="1E3EFEA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智能病例分析</w:t>
            </w:r>
          </w:p>
        </w:tc>
        <w:tc>
          <w:tcPr>
            <w:tcW w:w="429" w:type="pct"/>
            <w:tcBorders>
              <w:top w:val="single" w:color="000000" w:sz="4" w:space="0"/>
              <w:left w:val="single" w:color="000000" w:sz="4" w:space="0"/>
              <w:bottom w:val="single" w:color="000000" w:sz="4" w:space="0"/>
              <w:right w:val="single" w:color="000000" w:sz="4" w:space="0"/>
            </w:tcBorders>
            <w:vAlign w:val="center"/>
          </w:tcPr>
          <w:p w14:paraId="589CC420">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智能病例分析</w:t>
            </w:r>
          </w:p>
        </w:tc>
        <w:tc>
          <w:tcPr>
            <w:tcW w:w="2551" w:type="pct"/>
            <w:tcBorders>
              <w:top w:val="single" w:color="000000" w:sz="4" w:space="0"/>
              <w:left w:val="single" w:color="000000" w:sz="4" w:space="0"/>
              <w:bottom w:val="single" w:color="000000" w:sz="4" w:space="0"/>
              <w:right w:val="single" w:color="000000" w:sz="4" w:space="0"/>
            </w:tcBorders>
            <w:vAlign w:val="center"/>
          </w:tcPr>
          <w:p w14:paraId="02B7FE3E">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1.支持智能分析每条病例的编码数据与其他字段不合规的情况，进行数据治理，推荐最佳入组，降低医院数据错误导致的损失；</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2.支持通过病案号、流水号等信息对病例精确定位，并能查看该病例结算清单详情；</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3.支持各分析指标的导出，并可自定义筛选导出指标；支持对1天、7天、15天、30天的分解住院病例及关联病例的导出。</w:t>
            </w:r>
          </w:p>
        </w:tc>
        <w:tc>
          <w:tcPr>
            <w:tcW w:w="530" w:type="pct"/>
            <w:tcBorders>
              <w:top w:val="single" w:color="000000" w:sz="4" w:space="0"/>
              <w:left w:val="single" w:color="000000" w:sz="4" w:space="0"/>
              <w:bottom w:val="single" w:color="000000" w:sz="4" w:space="0"/>
              <w:right w:val="single" w:color="000000" w:sz="4" w:space="0"/>
            </w:tcBorders>
            <w:vAlign w:val="center"/>
          </w:tcPr>
          <w:p w14:paraId="49D2EB93">
            <w:pPr>
              <w:widowControl/>
              <w:jc w:val="left"/>
              <w:rPr>
                <w:rFonts w:ascii="宋体" w:hAnsi="宋体" w:eastAsia="宋体" w:cs="宋体"/>
                <w:color w:val="000000"/>
                <w:kern w:val="0"/>
                <w:szCs w:val="21"/>
              </w:rPr>
            </w:pPr>
          </w:p>
        </w:tc>
        <w:tc>
          <w:tcPr>
            <w:tcW w:w="590" w:type="pct"/>
            <w:tcBorders>
              <w:top w:val="single" w:color="000000" w:sz="4" w:space="0"/>
              <w:left w:val="single" w:color="000000" w:sz="4" w:space="0"/>
              <w:bottom w:val="single" w:color="000000" w:sz="4" w:space="0"/>
              <w:right w:val="single" w:color="000000" w:sz="4" w:space="0"/>
            </w:tcBorders>
            <w:vAlign w:val="center"/>
          </w:tcPr>
          <w:p w14:paraId="7666F059">
            <w:pPr>
              <w:widowControl/>
              <w:jc w:val="left"/>
              <w:rPr>
                <w:rFonts w:ascii="宋体" w:hAnsi="宋体" w:eastAsia="宋体" w:cs="宋体"/>
                <w:color w:val="000000"/>
                <w:kern w:val="0"/>
                <w:szCs w:val="21"/>
              </w:rPr>
            </w:pPr>
          </w:p>
        </w:tc>
      </w:tr>
      <w:tr w14:paraId="74AB4898">
        <w:tblPrEx>
          <w:tblCellMar>
            <w:top w:w="0" w:type="dxa"/>
            <w:left w:w="108" w:type="dxa"/>
            <w:bottom w:w="0" w:type="dxa"/>
            <w:right w:w="108" w:type="dxa"/>
          </w:tblCellMar>
        </w:tblPrEx>
        <w:trPr>
          <w:trHeight w:val="3000" w:hRule="atLeast"/>
        </w:trPr>
        <w:tc>
          <w:tcPr>
            <w:tcW w:w="233" w:type="pct"/>
            <w:tcBorders>
              <w:top w:val="single" w:color="000000" w:sz="4" w:space="0"/>
              <w:left w:val="single" w:color="000000" w:sz="4" w:space="0"/>
              <w:bottom w:val="single" w:color="000000" w:sz="4" w:space="0"/>
              <w:right w:val="nil"/>
            </w:tcBorders>
            <w:vAlign w:val="center"/>
          </w:tcPr>
          <w:p w14:paraId="1DFE813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67</w:t>
            </w:r>
          </w:p>
        </w:tc>
        <w:tc>
          <w:tcPr>
            <w:tcW w:w="294" w:type="pct"/>
            <w:vMerge w:val="continue"/>
            <w:tcBorders>
              <w:top w:val="single" w:color="000000" w:sz="4" w:space="0"/>
              <w:left w:val="single" w:color="000000" w:sz="4" w:space="0"/>
              <w:bottom w:val="nil"/>
              <w:right w:val="single" w:color="000000" w:sz="4" w:space="0"/>
            </w:tcBorders>
            <w:vAlign w:val="center"/>
          </w:tcPr>
          <w:p w14:paraId="03C0E47E">
            <w:pPr>
              <w:widowControl/>
              <w:jc w:val="left"/>
              <w:rPr>
                <w:rFonts w:ascii="宋体" w:hAnsi="宋体" w:eastAsia="宋体" w:cs="宋体"/>
                <w:b/>
                <w:bCs/>
                <w:color w:val="000000"/>
                <w:kern w:val="0"/>
                <w:szCs w:val="21"/>
              </w:rPr>
            </w:pPr>
          </w:p>
        </w:tc>
        <w:tc>
          <w:tcPr>
            <w:tcW w:w="369" w:type="pct"/>
            <w:tcBorders>
              <w:top w:val="single" w:color="000000" w:sz="4" w:space="0"/>
              <w:left w:val="single" w:color="000000" w:sz="4" w:space="0"/>
              <w:bottom w:val="single" w:color="000000" w:sz="4" w:space="0"/>
              <w:right w:val="single" w:color="000000" w:sz="4" w:space="0"/>
            </w:tcBorders>
            <w:vAlign w:val="center"/>
          </w:tcPr>
          <w:p w14:paraId="297010F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病例查询</w:t>
            </w:r>
          </w:p>
        </w:tc>
        <w:tc>
          <w:tcPr>
            <w:tcW w:w="429" w:type="pct"/>
            <w:tcBorders>
              <w:top w:val="single" w:color="000000" w:sz="4" w:space="0"/>
              <w:left w:val="single" w:color="000000" w:sz="4" w:space="0"/>
              <w:bottom w:val="single" w:color="000000" w:sz="4" w:space="0"/>
              <w:right w:val="single" w:color="000000" w:sz="4" w:space="0"/>
            </w:tcBorders>
            <w:vAlign w:val="center"/>
          </w:tcPr>
          <w:p w14:paraId="497AA1BB">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病例查询</w:t>
            </w:r>
          </w:p>
        </w:tc>
        <w:tc>
          <w:tcPr>
            <w:tcW w:w="2551" w:type="pct"/>
            <w:tcBorders>
              <w:top w:val="single" w:color="000000" w:sz="4" w:space="0"/>
              <w:left w:val="single" w:color="000000" w:sz="4" w:space="0"/>
              <w:bottom w:val="single" w:color="000000" w:sz="4" w:space="0"/>
              <w:right w:val="single" w:color="000000" w:sz="4" w:space="0"/>
            </w:tcBorders>
            <w:vAlign w:val="center"/>
          </w:tcPr>
          <w:p w14:paraId="6C33F7F7">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产品支持以下功能：</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1.支持查询每条病例的入组结果和数据分析结果，病例查看范围受账号的数据权限影响。</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2.支持全量数据查询；支持重要维度指标突出展示，并提供同比环比，如未入组病例、住院超60天病例等，支持此类指标快速筛选病例；</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3.支持查看该病例的结算清单详情；</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4.支持对病例费用明细结构按照医保结算清单14项分类进行图表展示，同时支持按照医院现行运营分析要求标准自定义病例费用明细归类进行图表展示；</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5.支持对1天、7天、15天、30天的再入院和分解住院病例展示分析，横向对比分析再入院前后病例的关键就诊结算信息，并定位和导出住院的关联病例；</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6.各指标可导出，并能自定义导出指标。</w:t>
            </w:r>
          </w:p>
        </w:tc>
        <w:tc>
          <w:tcPr>
            <w:tcW w:w="530" w:type="pct"/>
            <w:tcBorders>
              <w:top w:val="single" w:color="000000" w:sz="4" w:space="0"/>
              <w:left w:val="single" w:color="000000" w:sz="4" w:space="0"/>
              <w:bottom w:val="single" w:color="000000" w:sz="4" w:space="0"/>
              <w:right w:val="single" w:color="000000" w:sz="4" w:space="0"/>
            </w:tcBorders>
            <w:vAlign w:val="center"/>
          </w:tcPr>
          <w:p w14:paraId="20FA19CF">
            <w:pPr>
              <w:widowControl/>
              <w:jc w:val="left"/>
              <w:rPr>
                <w:rFonts w:ascii="宋体" w:hAnsi="宋体" w:eastAsia="宋体" w:cs="宋体"/>
                <w:color w:val="000000"/>
                <w:kern w:val="0"/>
                <w:szCs w:val="21"/>
              </w:rPr>
            </w:pPr>
          </w:p>
        </w:tc>
        <w:tc>
          <w:tcPr>
            <w:tcW w:w="590" w:type="pct"/>
            <w:tcBorders>
              <w:top w:val="single" w:color="000000" w:sz="4" w:space="0"/>
              <w:left w:val="single" w:color="000000" w:sz="4" w:space="0"/>
              <w:bottom w:val="single" w:color="000000" w:sz="4" w:space="0"/>
              <w:right w:val="single" w:color="000000" w:sz="4" w:space="0"/>
            </w:tcBorders>
            <w:vAlign w:val="center"/>
          </w:tcPr>
          <w:p w14:paraId="0E09367E">
            <w:pPr>
              <w:widowControl/>
              <w:jc w:val="left"/>
              <w:rPr>
                <w:rFonts w:ascii="宋体" w:hAnsi="宋体" w:eastAsia="宋体" w:cs="宋体"/>
                <w:color w:val="000000"/>
                <w:kern w:val="0"/>
                <w:szCs w:val="21"/>
              </w:rPr>
            </w:pPr>
          </w:p>
        </w:tc>
      </w:tr>
      <w:tr w14:paraId="5AB00DC7">
        <w:tblPrEx>
          <w:tblCellMar>
            <w:top w:w="0" w:type="dxa"/>
            <w:left w:w="108" w:type="dxa"/>
            <w:bottom w:w="0" w:type="dxa"/>
            <w:right w:w="108" w:type="dxa"/>
          </w:tblCellMar>
        </w:tblPrEx>
        <w:trPr>
          <w:trHeight w:val="600" w:hRule="atLeast"/>
        </w:trPr>
        <w:tc>
          <w:tcPr>
            <w:tcW w:w="233" w:type="pct"/>
            <w:tcBorders>
              <w:top w:val="single" w:color="000000" w:sz="4" w:space="0"/>
              <w:left w:val="single" w:color="000000" w:sz="4" w:space="0"/>
              <w:bottom w:val="single" w:color="000000" w:sz="4" w:space="0"/>
              <w:right w:val="nil"/>
            </w:tcBorders>
            <w:vAlign w:val="center"/>
          </w:tcPr>
          <w:p w14:paraId="6E85CFB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68</w:t>
            </w:r>
          </w:p>
        </w:tc>
        <w:tc>
          <w:tcPr>
            <w:tcW w:w="294" w:type="pct"/>
            <w:vMerge w:val="continue"/>
            <w:tcBorders>
              <w:top w:val="single" w:color="000000" w:sz="4" w:space="0"/>
              <w:left w:val="single" w:color="000000" w:sz="4" w:space="0"/>
              <w:bottom w:val="nil"/>
              <w:right w:val="single" w:color="000000" w:sz="4" w:space="0"/>
            </w:tcBorders>
            <w:vAlign w:val="center"/>
          </w:tcPr>
          <w:p w14:paraId="2A0EBE9B">
            <w:pPr>
              <w:widowControl/>
              <w:jc w:val="left"/>
              <w:rPr>
                <w:rFonts w:ascii="宋体" w:hAnsi="宋体" w:eastAsia="宋体" w:cs="宋体"/>
                <w:b/>
                <w:bCs/>
                <w:color w:val="000000"/>
                <w:kern w:val="0"/>
                <w:szCs w:val="21"/>
              </w:rPr>
            </w:pPr>
          </w:p>
        </w:tc>
        <w:tc>
          <w:tcPr>
            <w:tcW w:w="369" w:type="pct"/>
            <w:tcBorders>
              <w:top w:val="single" w:color="000000" w:sz="4" w:space="0"/>
              <w:left w:val="single" w:color="000000" w:sz="4" w:space="0"/>
              <w:bottom w:val="single" w:color="000000" w:sz="4" w:space="0"/>
              <w:right w:val="single" w:color="000000" w:sz="4" w:space="0"/>
            </w:tcBorders>
            <w:vAlign w:val="center"/>
          </w:tcPr>
          <w:p w14:paraId="7879D51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数据管理</w:t>
            </w:r>
          </w:p>
        </w:tc>
        <w:tc>
          <w:tcPr>
            <w:tcW w:w="429" w:type="pct"/>
            <w:tcBorders>
              <w:top w:val="single" w:color="000000" w:sz="4" w:space="0"/>
              <w:left w:val="nil"/>
              <w:bottom w:val="single" w:color="000000" w:sz="4" w:space="0"/>
              <w:right w:val="single" w:color="000000" w:sz="4" w:space="0"/>
            </w:tcBorders>
            <w:vAlign w:val="center"/>
          </w:tcPr>
          <w:p w14:paraId="62C58971">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数据统计</w:t>
            </w:r>
          </w:p>
        </w:tc>
        <w:tc>
          <w:tcPr>
            <w:tcW w:w="2551" w:type="pct"/>
            <w:tcBorders>
              <w:top w:val="single" w:color="000000" w:sz="4" w:space="0"/>
              <w:left w:val="single" w:color="000000" w:sz="4" w:space="0"/>
              <w:bottom w:val="single" w:color="000000" w:sz="4" w:space="0"/>
              <w:right w:val="single" w:color="000000" w:sz="4" w:space="0"/>
            </w:tcBorders>
            <w:vAlign w:val="center"/>
          </w:tcPr>
          <w:p w14:paraId="3A705DEC">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提供产品支持对临床医护人员使用医生助手及医生质控助手情况的统计，可查看事中的月度使用趋势、各科室、各医生业务使用频次等数据。</w:t>
            </w:r>
          </w:p>
        </w:tc>
        <w:tc>
          <w:tcPr>
            <w:tcW w:w="530" w:type="pct"/>
            <w:tcBorders>
              <w:top w:val="single" w:color="000000" w:sz="4" w:space="0"/>
              <w:left w:val="single" w:color="000000" w:sz="4" w:space="0"/>
              <w:bottom w:val="single" w:color="000000" w:sz="4" w:space="0"/>
              <w:right w:val="single" w:color="000000" w:sz="4" w:space="0"/>
            </w:tcBorders>
            <w:vAlign w:val="center"/>
          </w:tcPr>
          <w:p w14:paraId="109A50B0">
            <w:pPr>
              <w:widowControl/>
              <w:jc w:val="left"/>
              <w:rPr>
                <w:rFonts w:ascii="宋体" w:hAnsi="宋体" w:eastAsia="宋体" w:cs="宋体"/>
                <w:color w:val="000000"/>
                <w:kern w:val="0"/>
                <w:szCs w:val="21"/>
              </w:rPr>
            </w:pPr>
          </w:p>
        </w:tc>
        <w:tc>
          <w:tcPr>
            <w:tcW w:w="590" w:type="pct"/>
            <w:tcBorders>
              <w:top w:val="single" w:color="000000" w:sz="4" w:space="0"/>
              <w:left w:val="single" w:color="000000" w:sz="4" w:space="0"/>
              <w:bottom w:val="single" w:color="000000" w:sz="4" w:space="0"/>
              <w:right w:val="single" w:color="000000" w:sz="4" w:space="0"/>
            </w:tcBorders>
            <w:vAlign w:val="center"/>
          </w:tcPr>
          <w:p w14:paraId="018E6575">
            <w:pPr>
              <w:widowControl/>
              <w:jc w:val="left"/>
              <w:rPr>
                <w:rFonts w:ascii="宋体" w:hAnsi="宋体" w:eastAsia="宋体" w:cs="宋体"/>
                <w:color w:val="000000"/>
                <w:kern w:val="0"/>
                <w:szCs w:val="21"/>
              </w:rPr>
            </w:pPr>
          </w:p>
        </w:tc>
      </w:tr>
      <w:tr w14:paraId="6335A416">
        <w:tblPrEx>
          <w:tblCellMar>
            <w:top w:w="0" w:type="dxa"/>
            <w:left w:w="108" w:type="dxa"/>
            <w:bottom w:w="0" w:type="dxa"/>
            <w:right w:w="108" w:type="dxa"/>
          </w:tblCellMar>
        </w:tblPrEx>
        <w:trPr>
          <w:trHeight w:val="600" w:hRule="atLeast"/>
        </w:trPr>
        <w:tc>
          <w:tcPr>
            <w:tcW w:w="233" w:type="pct"/>
            <w:tcBorders>
              <w:top w:val="single" w:color="000000" w:sz="4" w:space="0"/>
              <w:left w:val="single" w:color="000000" w:sz="4" w:space="0"/>
              <w:bottom w:val="single" w:color="000000" w:sz="4" w:space="0"/>
              <w:right w:val="nil"/>
            </w:tcBorders>
            <w:vAlign w:val="center"/>
          </w:tcPr>
          <w:p w14:paraId="36EDE07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69</w:t>
            </w:r>
          </w:p>
        </w:tc>
        <w:tc>
          <w:tcPr>
            <w:tcW w:w="294" w:type="pct"/>
            <w:vMerge w:val="restart"/>
            <w:tcBorders>
              <w:top w:val="single" w:color="000000" w:sz="4" w:space="0"/>
              <w:left w:val="single" w:color="000000" w:sz="4" w:space="0"/>
              <w:bottom w:val="single" w:color="000000" w:sz="4" w:space="0"/>
              <w:right w:val="single" w:color="000000" w:sz="4" w:space="0"/>
            </w:tcBorders>
            <w:vAlign w:val="center"/>
          </w:tcPr>
          <w:p w14:paraId="6630870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分组模拟</w:t>
            </w:r>
          </w:p>
        </w:tc>
        <w:tc>
          <w:tcPr>
            <w:tcW w:w="369" w:type="pct"/>
            <w:vMerge w:val="restart"/>
            <w:tcBorders>
              <w:top w:val="single" w:color="000000" w:sz="4" w:space="0"/>
              <w:left w:val="single" w:color="000000" w:sz="4" w:space="0"/>
              <w:bottom w:val="single" w:color="000000" w:sz="4" w:space="0"/>
              <w:right w:val="single" w:color="000000" w:sz="4" w:space="0"/>
            </w:tcBorders>
            <w:vAlign w:val="center"/>
          </w:tcPr>
          <w:p w14:paraId="1D4DB4E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分组模拟</w:t>
            </w:r>
          </w:p>
        </w:tc>
        <w:tc>
          <w:tcPr>
            <w:tcW w:w="429" w:type="pct"/>
            <w:tcBorders>
              <w:top w:val="single" w:color="000000" w:sz="4" w:space="0"/>
              <w:left w:val="nil"/>
              <w:bottom w:val="single" w:color="000000" w:sz="4" w:space="0"/>
              <w:right w:val="single" w:color="000000" w:sz="4" w:space="0"/>
            </w:tcBorders>
            <w:vAlign w:val="center"/>
          </w:tcPr>
          <w:p w14:paraId="73AF22A8">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实时分组预警</w:t>
            </w:r>
          </w:p>
        </w:tc>
        <w:tc>
          <w:tcPr>
            <w:tcW w:w="2551" w:type="pct"/>
            <w:tcBorders>
              <w:top w:val="single" w:color="000000" w:sz="4" w:space="0"/>
              <w:left w:val="single" w:color="000000" w:sz="4" w:space="0"/>
              <w:bottom w:val="single" w:color="000000" w:sz="4" w:space="0"/>
              <w:right w:val="single" w:color="000000" w:sz="4" w:space="0"/>
            </w:tcBorders>
            <w:vAlign w:val="center"/>
          </w:tcPr>
          <w:p w14:paraId="62AF4942">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提供产品支持自由模拟各类情况下的预入组结果和预结算结果，诊断手术均可增删，并支持切换国临医保码录入。</w:t>
            </w:r>
          </w:p>
        </w:tc>
        <w:tc>
          <w:tcPr>
            <w:tcW w:w="530" w:type="pct"/>
            <w:tcBorders>
              <w:top w:val="single" w:color="000000" w:sz="4" w:space="0"/>
              <w:left w:val="single" w:color="000000" w:sz="4" w:space="0"/>
              <w:bottom w:val="single" w:color="000000" w:sz="4" w:space="0"/>
              <w:right w:val="single" w:color="000000" w:sz="4" w:space="0"/>
            </w:tcBorders>
            <w:vAlign w:val="center"/>
          </w:tcPr>
          <w:p w14:paraId="302C1FCC">
            <w:pPr>
              <w:widowControl/>
              <w:jc w:val="left"/>
              <w:rPr>
                <w:rFonts w:ascii="宋体" w:hAnsi="宋体" w:eastAsia="宋体" w:cs="宋体"/>
                <w:color w:val="000000"/>
                <w:kern w:val="0"/>
                <w:szCs w:val="21"/>
              </w:rPr>
            </w:pPr>
          </w:p>
        </w:tc>
        <w:tc>
          <w:tcPr>
            <w:tcW w:w="590" w:type="pct"/>
            <w:tcBorders>
              <w:top w:val="single" w:color="000000" w:sz="4" w:space="0"/>
              <w:left w:val="single" w:color="000000" w:sz="4" w:space="0"/>
              <w:bottom w:val="single" w:color="000000" w:sz="4" w:space="0"/>
              <w:right w:val="single" w:color="000000" w:sz="4" w:space="0"/>
            </w:tcBorders>
            <w:vAlign w:val="center"/>
          </w:tcPr>
          <w:p w14:paraId="406C4C2A">
            <w:pPr>
              <w:widowControl/>
              <w:jc w:val="left"/>
              <w:rPr>
                <w:rFonts w:ascii="宋体" w:hAnsi="宋体" w:eastAsia="宋体" w:cs="宋体"/>
                <w:color w:val="000000"/>
                <w:kern w:val="0"/>
                <w:szCs w:val="21"/>
              </w:rPr>
            </w:pPr>
          </w:p>
        </w:tc>
      </w:tr>
      <w:tr w14:paraId="6D60C991">
        <w:tblPrEx>
          <w:tblCellMar>
            <w:top w:w="0" w:type="dxa"/>
            <w:left w:w="108" w:type="dxa"/>
            <w:bottom w:w="0" w:type="dxa"/>
            <w:right w:w="108" w:type="dxa"/>
          </w:tblCellMar>
        </w:tblPrEx>
        <w:trPr>
          <w:trHeight w:val="600" w:hRule="atLeast"/>
        </w:trPr>
        <w:tc>
          <w:tcPr>
            <w:tcW w:w="233" w:type="pct"/>
            <w:tcBorders>
              <w:top w:val="single" w:color="000000" w:sz="4" w:space="0"/>
              <w:left w:val="single" w:color="000000" w:sz="4" w:space="0"/>
              <w:bottom w:val="single" w:color="000000" w:sz="4" w:space="0"/>
              <w:right w:val="nil"/>
            </w:tcBorders>
            <w:vAlign w:val="center"/>
          </w:tcPr>
          <w:p w14:paraId="1C519DE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70</w:t>
            </w:r>
          </w:p>
        </w:tc>
        <w:tc>
          <w:tcPr>
            <w:tcW w:w="294" w:type="pct"/>
            <w:vMerge w:val="continue"/>
            <w:tcBorders>
              <w:top w:val="single" w:color="000000" w:sz="4" w:space="0"/>
              <w:left w:val="single" w:color="000000" w:sz="4" w:space="0"/>
              <w:bottom w:val="single" w:color="000000" w:sz="4" w:space="0"/>
              <w:right w:val="single" w:color="000000" w:sz="4" w:space="0"/>
            </w:tcBorders>
            <w:vAlign w:val="center"/>
          </w:tcPr>
          <w:p w14:paraId="34E4F3F6">
            <w:pPr>
              <w:widowControl/>
              <w:jc w:val="left"/>
              <w:rPr>
                <w:rFonts w:ascii="宋体" w:hAnsi="宋体" w:eastAsia="宋体" w:cs="宋体"/>
                <w:color w:val="000000"/>
                <w:kern w:val="0"/>
                <w:szCs w:val="21"/>
              </w:rPr>
            </w:pPr>
          </w:p>
        </w:tc>
        <w:tc>
          <w:tcPr>
            <w:tcW w:w="369" w:type="pct"/>
            <w:vMerge w:val="continue"/>
            <w:tcBorders>
              <w:top w:val="single" w:color="000000" w:sz="4" w:space="0"/>
              <w:left w:val="single" w:color="000000" w:sz="4" w:space="0"/>
              <w:bottom w:val="single" w:color="000000" w:sz="4" w:space="0"/>
              <w:right w:val="single" w:color="000000" w:sz="4" w:space="0"/>
            </w:tcBorders>
            <w:vAlign w:val="center"/>
          </w:tcPr>
          <w:p w14:paraId="4234A40C">
            <w:pPr>
              <w:widowControl/>
              <w:jc w:val="left"/>
              <w:rPr>
                <w:rFonts w:ascii="宋体" w:hAnsi="宋体" w:eastAsia="宋体" w:cs="宋体"/>
                <w:color w:val="000000"/>
                <w:kern w:val="0"/>
                <w:szCs w:val="21"/>
              </w:rPr>
            </w:pPr>
          </w:p>
        </w:tc>
        <w:tc>
          <w:tcPr>
            <w:tcW w:w="429" w:type="pct"/>
            <w:tcBorders>
              <w:top w:val="single" w:color="000000" w:sz="4" w:space="0"/>
              <w:left w:val="nil"/>
              <w:bottom w:val="single" w:color="000000" w:sz="4" w:space="0"/>
              <w:right w:val="single" w:color="000000" w:sz="4" w:space="0"/>
            </w:tcBorders>
            <w:vAlign w:val="center"/>
          </w:tcPr>
          <w:p w14:paraId="17589B68">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分组数据治理</w:t>
            </w:r>
          </w:p>
        </w:tc>
        <w:tc>
          <w:tcPr>
            <w:tcW w:w="2551" w:type="pct"/>
            <w:tcBorders>
              <w:top w:val="single" w:color="000000" w:sz="4" w:space="0"/>
              <w:left w:val="single" w:color="000000" w:sz="4" w:space="0"/>
              <w:bottom w:val="single" w:color="000000" w:sz="4" w:space="0"/>
              <w:right w:val="single" w:color="000000" w:sz="4" w:space="0"/>
            </w:tcBorders>
            <w:vAlign w:val="center"/>
          </w:tcPr>
          <w:p w14:paraId="674100E3">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提供产品支持根据模拟填写的诊断与手术进行测评，并加入分组筛选逻辑，通过智能引擎排除异常结果，将校对后的结果进行判定，进行治理推荐。</w:t>
            </w:r>
          </w:p>
        </w:tc>
        <w:tc>
          <w:tcPr>
            <w:tcW w:w="530" w:type="pct"/>
            <w:tcBorders>
              <w:top w:val="single" w:color="000000" w:sz="4" w:space="0"/>
              <w:left w:val="single" w:color="000000" w:sz="4" w:space="0"/>
              <w:bottom w:val="single" w:color="000000" w:sz="4" w:space="0"/>
              <w:right w:val="single" w:color="000000" w:sz="4" w:space="0"/>
            </w:tcBorders>
            <w:vAlign w:val="center"/>
          </w:tcPr>
          <w:p w14:paraId="2FD556D3">
            <w:pPr>
              <w:widowControl/>
              <w:jc w:val="left"/>
              <w:rPr>
                <w:rFonts w:ascii="宋体" w:hAnsi="宋体" w:eastAsia="宋体" w:cs="宋体"/>
                <w:color w:val="000000"/>
                <w:kern w:val="0"/>
                <w:szCs w:val="21"/>
              </w:rPr>
            </w:pPr>
          </w:p>
        </w:tc>
        <w:tc>
          <w:tcPr>
            <w:tcW w:w="590" w:type="pct"/>
            <w:tcBorders>
              <w:top w:val="single" w:color="000000" w:sz="4" w:space="0"/>
              <w:left w:val="single" w:color="000000" w:sz="4" w:space="0"/>
              <w:bottom w:val="single" w:color="000000" w:sz="4" w:space="0"/>
              <w:right w:val="single" w:color="000000" w:sz="4" w:space="0"/>
            </w:tcBorders>
            <w:vAlign w:val="center"/>
          </w:tcPr>
          <w:p w14:paraId="779F9616">
            <w:pPr>
              <w:widowControl/>
              <w:jc w:val="left"/>
              <w:rPr>
                <w:rFonts w:ascii="宋体" w:hAnsi="宋体" w:eastAsia="宋体" w:cs="宋体"/>
                <w:color w:val="000000"/>
                <w:kern w:val="0"/>
                <w:szCs w:val="21"/>
              </w:rPr>
            </w:pPr>
          </w:p>
        </w:tc>
      </w:tr>
      <w:tr w14:paraId="2D020AC8">
        <w:tblPrEx>
          <w:tblCellMar>
            <w:top w:w="0" w:type="dxa"/>
            <w:left w:w="108" w:type="dxa"/>
            <w:bottom w:w="0" w:type="dxa"/>
            <w:right w:w="108" w:type="dxa"/>
          </w:tblCellMar>
        </w:tblPrEx>
        <w:trPr>
          <w:trHeight w:val="600" w:hRule="atLeast"/>
        </w:trPr>
        <w:tc>
          <w:tcPr>
            <w:tcW w:w="233" w:type="pct"/>
            <w:tcBorders>
              <w:top w:val="single" w:color="000000" w:sz="4" w:space="0"/>
              <w:left w:val="single" w:color="000000" w:sz="4" w:space="0"/>
              <w:bottom w:val="single" w:color="000000" w:sz="4" w:space="0"/>
              <w:right w:val="nil"/>
            </w:tcBorders>
            <w:vAlign w:val="center"/>
          </w:tcPr>
          <w:p w14:paraId="740475C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71</w:t>
            </w:r>
          </w:p>
        </w:tc>
        <w:tc>
          <w:tcPr>
            <w:tcW w:w="294" w:type="pct"/>
            <w:vMerge w:val="continue"/>
            <w:tcBorders>
              <w:top w:val="single" w:color="000000" w:sz="4" w:space="0"/>
              <w:left w:val="single" w:color="000000" w:sz="4" w:space="0"/>
              <w:bottom w:val="single" w:color="000000" w:sz="4" w:space="0"/>
              <w:right w:val="single" w:color="000000" w:sz="4" w:space="0"/>
            </w:tcBorders>
            <w:vAlign w:val="center"/>
          </w:tcPr>
          <w:p w14:paraId="3AC0C753">
            <w:pPr>
              <w:widowControl/>
              <w:jc w:val="left"/>
              <w:rPr>
                <w:rFonts w:ascii="宋体" w:hAnsi="宋体" w:eastAsia="宋体" w:cs="宋体"/>
                <w:color w:val="000000"/>
                <w:kern w:val="0"/>
                <w:szCs w:val="21"/>
              </w:rPr>
            </w:pPr>
          </w:p>
        </w:tc>
        <w:tc>
          <w:tcPr>
            <w:tcW w:w="369" w:type="pct"/>
            <w:vMerge w:val="continue"/>
            <w:tcBorders>
              <w:top w:val="single" w:color="000000" w:sz="4" w:space="0"/>
              <w:left w:val="single" w:color="000000" w:sz="4" w:space="0"/>
              <w:bottom w:val="single" w:color="000000" w:sz="4" w:space="0"/>
              <w:right w:val="single" w:color="000000" w:sz="4" w:space="0"/>
            </w:tcBorders>
            <w:vAlign w:val="center"/>
          </w:tcPr>
          <w:p w14:paraId="1A687701">
            <w:pPr>
              <w:widowControl/>
              <w:jc w:val="left"/>
              <w:rPr>
                <w:rFonts w:ascii="宋体" w:hAnsi="宋体" w:eastAsia="宋体" w:cs="宋体"/>
                <w:color w:val="000000"/>
                <w:kern w:val="0"/>
                <w:szCs w:val="21"/>
              </w:rPr>
            </w:pPr>
          </w:p>
        </w:tc>
        <w:tc>
          <w:tcPr>
            <w:tcW w:w="429" w:type="pct"/>
            <w:tcBorders>
              <w:top w:val="single" w:color="000000" w:sz="4" w:space="0"/>
              <w:left w:val="nil"/>
              <w:bottom w:val="single" w:color="000000" w:sz="4" w:space="0"/>
              <w:right w:val="single" w:color="000000" w:sz="4" w:space="0"/>
            </w:tcBorders>
            <w:vAlign w:val="center"/>
          </w:tcPr>
          <w:p w14:paraId="432E2261">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临床路径指南</w:t>
            </w:r>
          </w:p>
        </w:tc>
        <w:tc>
          <w:tcPr>
            <w:tcW w:w="2551" w:type="pct"/>
            <w:tcBorders>
              <w:top w:val="single" w:color="000000" w:sz="4" w:space="0"/>
              <w:left w:val="single" w:color="000000" w:sz="4" w:space="0"/>
              <w:bottom w:val="single" w:color="000000" w:sz="4" w:space="0"/>
              <w:right w:val="single" w:color="000000" w:sz="4" w:space="0"/>
            </w:tcBorders>
            <w:vAlign w:val="center"/>
          </w:tcPr>
          <w:p w14:paraId="52AF6822">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梳理2019版224个临床路径，并跟患者的诊断信息进行匹配，支持查看该模拟的规范性临床诊疗路径，并能够下载该临床路径的PDF文件。</w:t>
            </w:r>
          </w:p>
        </w:tc>
        <w:tc>
          <w:tcPr>
            <w:tcW w:w="530" w:type="pct"/>
            <w:tcBorders>
              <w:top w:val="single" w:color="000000" w:sz="4" w:space="0"/>
              <w:left w:val="single" w:color="000000" w:sz="4" w:space="0"/>
              <w:bottom w:val="single" w:color="000000" w:sz="4" w:space="0"/>
              <w:right w:val="single" w:color="000000" w:sz="4" w:space="0"/>
            </w:tcBorders>
            <w:vAlign w:val="center"/>
          </w:tcPr>
          <w:p w14:paraId="4194F3FE">
            <w:pPr>
              <w:widowControl/>
              <w:jc w:val="left"/>
              <w:rPr>
                <w:rFonts w:ascii="宋体" w:hAnsi="宋体" w:eastAsia="宋体" w:cs="宋体"/>
                <w:color w:val="000000"/>
                <w:kern w:val="0"/>
                <w:szCs w:val="21"/>
              </w:rPr>
            </w:pPr>
          </w:p>
        </w:tc>
        <w:tc>
          <w:tcPr>
            <w:tcW w:w="590" w:type="pct"/>
            <w:tcBorders>
              <w:top w:val="single" w:color="000000" w:sz="4" w:space="0"/>
              <w:left w:val="single" w:color="000000" w:sz="4" w:space="0"/>
              <w:bottom w:val="single" w:color="000000" w:sz="4" w:space="0"/>
              <w:right w:val="single" w:color="000000" w:sz="4" w:space="0"/>
            </w:tcBorders>
            <w:vAlign w:val="center"/>
          </w:tcPr>
          <w:p w14:paraId="0E042833">
            <w:pPr>
              <w:widowControl/>
              <w:jc w:val="left"/>
              <w:rPr>
                <w:rFonts w:ascii="宋体" w:hAnsi="宋体" w:eastAsia="宋体" w:cs="宋体"/>
                <w:color w:val="000000"/>
                <w:kern w:val="0"/>
                <w:szCs w:val="21"/>
              </w:rPr>
            </w:pPr>
          </w:p>
        </w:tc>
      </w:tr>
      <w:tr w14:paraId="637BD9C7">
        <w:tblPrEx>
          <w:tblCellMar>
            <w:top w:w="0" w:type="dxa"/>
            <w:left w:w="108" w:type="dxa"/>
            <w:bottom w:w="0" w:type="dxa"/>
            <w:right w:w="108" w:type="dxa"/>
          </w:tblCellMar>
        </w:tblPrEx>
        <w:trPr>
          <w:trHeight w:val="600" w:hRule="atLeast"/>
        </w:trPr>
        <w:tc>
          <w:tcPr>
            <w:tcW w:w="233" w:type="pct"/>
            <w:tcBorders>
              <w:top w:val="single" w:color="000000" w:sz="4" w:space="0"/>
              <w:left w:val="single" w:color="000000" w:sz="4" w:space="0"/>
              <w:bottom w:val="single" w:color="000000" w:sz="4" w:space="0"/>
              <w:right w:val="nil"/>
            </w:tcBorders>
            <w:shd w:val="clear" w:color="auto" w:fill="auto"/>
            <w:vAlign w:val="center"/>
          </w:tcPr>
          <w:p w14:paraId="7E6968EF">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szCs w:val="21"/>
              </w:rPr>
              <w:t>72</w:t>
            </w:r>
          </w:p>
        </w:tc>
        <w:tc>
          <w:tcPr>
            <w:tcW w:w="364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E5DAD91">
            <w:pPr>
              <w:widowControl/>
              <w:jc w:val="left"/>
              <w:rPr>
                <w:rFonts w:ascii="宋体" w:hAnsi="宋体" w:eastAsia="宋体" w:cs="宋体"/>
                <w:b/>
                <w:bCs/>
                <w:color w:val="000000"/>
                <w:kern w:val="0"/>
                <w:szCs w:val="21"/>
              </w:rPr>
            </w:pPr>
            <w:r>
              <w:rPr>
                <w:rFonts w:hint="eastAsia" w:ascii="宋体" w:hAnsi="宋体" w:eastAsia="宋体" w:cs="宋体"/>
                <w:b/>
                <w:bCs/>
                <w:color w:val="000000"/>
                <w:szCs w:val="21"/>
              </w:rPr>
              <w:t>其他重点参数或额外/特色功能</w:t>
            </w:r>
          </w:p>
        </w:tc>
        <w:tc>
          <w:tcPr>
            <w:tcW w:w="530" w:type="pct"/>
            <w:tcBorders>
              <w:top w:val="single" w:color="000000" w:sz="4" w:space="0"/>
              <w:left w:val="single" w:color="000000" w:sz="4" w:space="0"/>
              <w:bottom w:val="single" w:color="000000" w:sz="4" w:space="0"/>
              <w:right w:val="single" w:color="000000" w:sz="4" w:space="0"/>
            </w:tcBorders>
            <w:vAlign w:val="center"/>
          </w:tcPr>
          <w:p w14:paraId="72EC8679">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供应商可自行补充响应</w:t>
            </w:r>
          </w:p>
        </w:tc>
        <w:tc>
          <w:tcPr>
            <w:tcW w:w="590" w:type="pct"/>
            <w:tcBorders>
              <w:top w:val="single" w:color="000000" w:sz="4" w:space="0"/>
              <w:left w:val="single" w:color="000000" w:sz="4" w:space="0"/>
              <w:bottom w:val="single" w:color="000000" w:sz="4" w:space="0"/>
              <w:right w:val="single" w:color="000000" w:sz="4" w:space="0"/>
            </w:tcBorders>
            <w:vAlign w:val="center"/>
          </w:tcPr>
          <w:p w14:paraId="745DF519">
            <w:pPr>
              <w:widowControl/>
              <w:jc w:val="left"/>
              <w:rPr>
                <w:rFonts w:ascii="宋体" w:hAnsi="宋体" w:eastAsia="宋体" w:cs="宋体"/>
                <w:color w:val="000000"/>
                <w:kern w:val="0"/>
                <w:szCs w:val="21"/>
              </w:rPr>
            </w:pPr>
          </w:p>
        </w:tc>
      </w:tr>
    </w:tbl>
    <w:p w14:paraId="3970DB28">
      <w:pPr>
        <w:rPr>
          <w:rFonts w:ascii="宋体" w:hAnsi="宋体" w:eastAsia="宋体" w:cs="宋体"/>
        </w:rPr>
      </w:pPr>
    </w:p>
    <w:p w14:paraId="422A528E">
      <w:pPr>
        <w:pStyle w:val="2"/>
        <w:rPr>
          <w:rFonts w:ascii="宋体" w:hAnsi="宋体" w:eastAsia="宋体" w:cs="宋体"/>
          <w:b/>
          <w:bCs/>
          <w:sz w:val="24"/>
          <w:szCs w:val="24"/>
        </w:rPr>
      </w:pPr>
      <w:r>
        <w:rPr>
          <w:rFonts w:hint="eastAsia" w:ascii="宋体" w:hAnsi="宋体" w:eastAsia="宋体" w:cs="宋体"/>
          <w:b/>
          <w:bCs/>
          <w:sz w:val="24"/>
          <w:szCs w:val="24"/>
        </w:rPr>
        <w:t>附件：</w:t>
      </w:r>
    </w:p>
    <w:p w14:paraId="186CF238">
      <w:pPr>
        <w:pStyle w:val="2"/>
        <w:jc w:val="both"/>
        <w:rPr>
          <w:rFonts w:hint="default" w:ascii="宋体" w:hAnsi="宋体" w:eastAsia="宋体" w:cs="宋体"/>
          <w:b/>
          <w:bCs/>
          <w:lang w:val="en-US" w:eastAsia="zh-CN"/>
        </w:rPr>
      </w:pPr>
      <w:r>
        <w:rPr>
          <w:rFonts w:hint="eastAsia" w:ascii="宋体" w:hAnsi="宋体" w:eastAsia="宋体" w:cs="宋体"/>
          <w:b/>
          <w:bCs/>
          <w:sz w:val="24"/>
          <w:szCs w:val="24"/>
          <w:lang w:val="en-US" w:eastAsia="zh-CN"/>
        </w:rPr>
        <w:t>1、产品的使用说明、彩页、技术白皮书等证明资料（如涉及）</w:t>
      </w:r>
    </w:p>
    <w:p w14:paraId="24045B70">
      <w:pPr>
        <w:pStyle w:val="2"/>
        <w:jc w:val="both"/>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2、业绩证明材料：如合同扫描件或中标（成交）通知书等</w:t>
      </w:r>
    </w:p>
    <w:p w14:paraId="4E7850BB">
      <w:pPr>
        <w:pStyle w:val="2"/>
        <w:rPr>
          <w:rFonts w:eastAsia="宋体"/>
        </w:rPr>
      </w:pPr>
    </w:p>
    <w:sectPr>
      <w:pgSz w:w="11906" w:h="16838"/>
      <w:pgMar w:top="1020" w:right="1020" w:bottom="1440" w:left="10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华文仿宋">
    <w:altName w:val="仿宋"/>
    <w:panose1 w:val="00000000000000000000"/>
    <w:charset w:val="86"/>
    <w:family w:val="auto"/>
    <w:pitch w:val="default"/>
    <w:sig w:usb0="00000000" w:usb1="00000000" w:usb2="00000000" w:usb3="00000000" w:csb0="0004009F" w:csb1="DFD70000"/>
  </w:font>
  <w:font w:name="微软雅黑">
    <w:panose1 w:val="020B0503020204020204"/>
    <w:charset w:val="86"/>
    <w:family w:val="swiss"/>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M2FiZDIzMjBhYjY3YjcwYmIxYWI1NjM4YzVmYjEyMDMifQ=="/>
  </w:docVars>
  <w:rsids>
    <w:rsidRoot w:val="00172A27"/>
    <w:rsid w:val="00063C75"/>
    <w:rsid w:val="00172A27"/>
    <w:rsid w:val="002579CB"/>
    <w:rsid w:val="00551C21"/>
    <w:rsid w:val="0057318F"/>
    <w:rsid w:val="006F4154"/>
    <w:rsid w:val="00912901"/>
    <w:rsid w:val="00A80165"/>
    <w:rsid w:val="00A91A60"/>
    <w:rsid w:val="01F0299C"/>
    <w:rsid w:val="05143E2A"/>
    <w:rsid w:val="051F394C"/>
    <w:rsid w:val="05407A43"/>
    <w:rsid w:val="056E6AB0"/>
    <w:rsid w:val="05940CB4"/>
    <w:rsid w:val="05B4030A"/>
    <w:rsid w:val="067C3EFC"/>
    <w:rsid w:val="0865499C"/>
    <w:rsid w:val="087143B7"/>
    <w:rsid w:val="08D83F61"/>
    <w:rsid w:val="091531B2"/>
    <w:rsid w:val="091A3CC4"/>
    <w:rsid w:val="0A9723EE"/>
    <w:rsid w:val="0ACF6055"/>
    <w:rsid w:val="0C5317A8"/>
    <w:rsid w:val="0F864DF4"/>
    <w:rsid w:val="0F896B3A"/>
    <w:rsid w:val="10A20470"/>
    <w:rsid w:val="11CB4E20"/>
    <w:rsid w:val="130B1E23"/>
    <w:rsid w:val="14014584"/>
    <w:rsid w:val="159A372A"/>
    <w:rsid w:val="15AD058B"/>
    <w:rsid w:val="15EA0F08"/>
    <w:rsid w:val="17E43CCF"/>
    <w:rsid w:val="180D34FE"/>
    <w:rsid w:val="18282688"/>
    <w:rsid w:val="18CC7AA4"/>
    <w:rsid w:val="1A36030C"/>
    <w:rsid w:val="1F2F2A38"/>
    <w:rsid w:val="1FD0729D"/>
    <w:rsid w:val="1FD6133F"/>
    <w:rsid w:val="202E6C83"/>
    <w:rsid w:val="203B7652"/>
    <w:rsid w:val="20AC5498"/>
    <w:rsid w:val="21470965"/>
    <w:rsid w:val="217A6CAD"/>
    <w:rsid w:val="21AD1115"/>
    <w:rsid w:val="22E81605"/>
    <w:rsid w:val="265656E6"/>
    <w:rsid w:val="28361994"/>
    <w:rsid w:val="2B744E0A"/>
    <w:rsid w:val="2C133BCE"/>
    <w:rsid w:val="2C4158F2"/>
    <w:rsid w:val="2CCC427C"/>
    <w:rsid w:val="2E8B7B35"/>
    <w:rsid w:val="30475913"/>
    <w:rsid w:val="31492EA1"/>
    <w:rsid w:val="31BE7AB8"/>
    <w:rsid w:val="325C2EFC"/>
    <w:rsid w:val="32AA04CA"/>
    <w:rsid w:val="32AB72CC"/>
    <w:rsid w:val="34163BA0"/>
    <w:rsid w:val="37E67B29"/>
    <w:rsid w:val="38592DC9"/>
    <w:rsid w:val="39FE23D7"/>
    <w:rsid w:val="3B9C1EA7"/>
    <w:rsid w:val="404F553D"/>
    <w:rsid w:val="41603291"/>
    <w:rsid w:val="41B118F3"/>
    <w:rsid w:val="42986501"/>
    <w:rsid w:val="48114D6E"/>
    <w:rsid w:val="49610B46"/>
    <w:rsid w:val="49937A41"/>
    <w:rsid w:val="4B11048A"/>
    <w:rsid w:val="4C0B6821"/>
    <w:rsid w:val="4FD57FCC"/>
    <w:rsid w:val="508D5AB6"/>
    <w:rsid w:val="53265F8B"/>
    <w:rsid w:val="5389733F"/>
    <w:rsid w:val="53B9110D"/>
    <w:rsid w:val="543479CA"/>
    <w:rsid w:val="560161DE"/>
    <w:rsid w:val="566035BA"/>
    <w:rsid w:val="57697431"/>
    <w:rsid w:val="578F3E42"/>
    <w:rsid w:val="57DD1426"/>
    <w:rsid w:val="58927058"/>
    <w:rsid w:val="58D61956"/>
    <w:rsid w:val="5C88267B"/>
    <w:rsid w:val="5DDE6519"/>
    <w:rsid w:val="5E407D3F"/>
    <w:rsid w:val="5EFB698C"/>
    <w:rsid w:val="60317AA8"/>
    <w:rsid w:val="6302432C"/>
    <w:rsid w:val="6B7F68A2"/>
    <w:rsid w:val="6C7E23E9"/>
    <w:rsid w:val="70F47F85"/>
    <w:rsid w:val="710D46D2"/>
    <w:rsid w:val="715C231C"/>
    <w:rsid w:val="717D7B53"/>
    <w:rsid w:val="72336CE6"/>
    <w:rsid w:val="72633359"/>
    <w:rsid w:val="72E70611"/>
    <w:rsid w:val="73D534E8"/>
    <w:rsid w:val="74C14025"/>
    <w:rsid w:val="77103409"/>
    <w:rsid w:val="794D363C"/>
    <w:rsid w:val="7B4B51CD"/>
    <w:rsid w:val="7BC150A8"/>
    <w:rsid w:val="7BC32F43"/>
    <w:rsid w:val="7BD830DD"/>
    <w:rsid w:val="7BFB3558"/>
    <w:rsid w:val="7CE118D8"/>
    <w:rsid w:val="7E55066A"/>
    <w:rsid w:val="7EB36B2A"/>
    <w:rsid w:val="7EB557B8"/>
    <w:rsid w:val="7FBD04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9"/>
    <w:pPr>
      <w:keepNext/>
      <w:keepLines/>
      <w:spacing w:before="340" w:after="330" w:line="578" w:lineRule="auto"/>
      <w:outlineLvl w:val="0"/>
    </w:pPr>
    <w:rPr>
      <w:b/>
      <w:bCs/>
      <w:kern w:val="44"/>
      <w:sz w:val="44"/>
      <w:szCs w:val="44"/>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qFormat/>
    <w:uiPriority w:val="0"/>
    <w:pPr>
      <w:spacing w:line="360" w:lineRule="auto"/>
    </w:pPr>
    <w:rPr>
      <w:szCs w:val="20"/>
    </w:rPr>
  </w:style>
  <w:style w:type="paragraph" w:styleId="4">
    <w:name w:val="annotation text"/>
    <w:basedOn w:val="1"/>
    <w:link w:val="26"/>
    <w:qFormat/>
    <w:uiPriority w:val="0"/>
    <w:pPr>
      <w:jc w:val="left"/>
    </w:pPr>
  </w:style>
  <w:style w:type="paragraph" w:styleId="5">
    <w:name w:val="Body Text Indent"/>
    <w:basedOn w:val="1"/>
    <w:next w:val="6"/>
    <w:qFormat/>
    <w:uiPriority w:val="99"/>
    <w:pPr>
      <w:ind w:firstLine="830" w:firstLineChars="352"/>
    </w:pPr>
    <w:rPr>
      <w:rFonts w:ascii="仿宋_GB2312" w:hAnsi="Times New Roman" w:eastAsia="仿宋_GB2312"/>
      <w:sz w:val="32"/>
      <w:szCs w:val="20"/>
    </w:rPr>
  </w:style>
  <w:style w:type="paragraph" w:styleId="6">
    <w:name w:val="Body Text First Indent 2"/>
    <w:basedOn w:val="5"/>
    <w:qFormat/>
    <w:uiPriority w:val="0"/>
    <w:pPr>
      <w:spacing w:after="120"/>
      <w:ind w:left="420" w:leftChars="200" w:firstLine="420" w:firstLineChars="200"/>
    </w:pPr>
    <w:rPr>
      <w:rFonts w:eastAsia="仿宋"/>
      <w:sz w:val="28"/>
      <w:szCs w:val="24"/>
    </w:rPr>
  </w:style>
  <w:style w:type="paragraph" w:styleId="7">
    <w:name w:val="Plain Text"/>
    <w:basedOn w:val="1"/>
    <w:next w:val="1"/>
    <w:qFormat/>
    <w:uiPriority w:val="99"/>
    <w:rPr>
      <w:rFonts w:ascii="宋体" w:hAnsi="Courier New" w:cs="Courier New"/>
      <w:szCs w:val="21"/>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0">
    <w:name w:val="Normal (Web)"/>
    <w:basedOn w:val="1"/>
    <w:qFormat/>
    <w:uiPriority w:val="0"/>
    <w:pPr>
      <w:spacing w:beforeAutospacing="1" w:afterAutospacing="1"/>
      <w:jc w:val="left"/>
    </w:pPr>
    <w:rPr>
      <w:rFonts w:cs="Times New Roman"/>
      <w:kern w:val="0"/>
      <w:sz w:val="24"/>
    </w:rPr>
  </w:style>
  <w:style w:type="paragraph" w:styleId="11">
    <w:name w:val="annotation subject"/>
    <w:basedOn w:val="4"/>
    <w:next w:val="4"/>
    <w:link w:val="27"/>
    <w:qFormat/>
    <w:uiPriority w:val="0"/>
    <w:rPr>
      <w:b/>
      <w:bCs/>
    </w:rPr>
  </w:style>
  <w:style w:type="paragraph" w:styleId="12">
    <w:name w:val="Body Text First Indent"/>
    <w:basedOn w:val="2"/>
    <w:unhideWhenUsed/>
    <w:qFormat/>
    <w:uiPriority w:val="0"/>
    <w:pPr>
      <w:spacing w:after="120"/>
      <w:ind w:firstLine="420" w:firstLineChars="100"/>
    </w:p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6">
    <w:name w:val="annotation reference"/>
    <w:basedOn w:val="15"/>
    <w:qFormat/>
    <w:uiPriority w:val="0"/>
    <w:rPr>
      <w:sz w:val="21"/>
      <w:szCs w:val="21"/>
    </w:rPr>
  </w:style>
  <w:style w:type="paragraph" w:customStyle="1" w:styleId="17">
    <w:name w:val="font5"/>
    <w:basedOn w:val="1"/>
    <w:qFormat/>
    <w:uiPriority w:val="0"/>
    <w:pPr>
      <w:widowControl/>
      <w:adjustRightInd w:val="0"/>
      <w:spacing w:before="100" w:beforeAutospacing="1" w:after="100" w:afterAutospacing="1" w:line="360" w:lineRule="atLeast"/>
      <w:textAlignment w:val="baseline"/>
    </w:pPr>
    <w:rPr>
      <w:rFonts w:hint="eastAsia" w:ascii="宋体" w:hAnsi="宋体" w:eastAsia="宋体"/>
      <w:sz w:val="18"/>
      <w:szCs w:val="18"/>
    </w:rPr>
  </w:style>
  <w:style w:type="paragraph" w:customStyle="1" w:styleId="18">
    <w:name w:val="表格文字"/>
    <w:basedOn w:val="19"/>
    <w:next w:val="2"/>
    <w:qFormat/>
    <w:uiPriority w:val="0"/>
    <w:pPr>
      <w:spacing w:before="25" w:after="25"/>
      <w:jc w:val="left"/>
    </w:pPr>
    <w:rPr>
      <w:bCs/>
      <w:spacing w:val="10"/>
      <w:sz w:val="24"/>
      <w:szCs w:val="20"/>
    </w:rPr>
  </w:style>
  <w:style w:type="paragraph" w:customStyle="1" w:styleId="19">
    <w:name w:val="表格文字（两侧对齐）"/>
    <w:basedOn w:val="1"/>
    <w:qFormat/>
    <w:uiPriority w:val="0"/>
    <w:pPr>
      <w:snapToGrid w:val="0"/>
    </w:pPr>
    <w:rPr>
      <w:rFonts w:ascii="Calibri" w:hAnsi="Calibri" w:cs="Times New Roman"/>
      <w:kern w:val="0"/>
      <w:sz w:val="20"/>
    </w:rPr>
  </w:style>
  <w:style w:type="character" w:customStyle="1" w:styleId="20">
    <w:name w:val="font31"/>
    <w:basedOn w:val="15"/>
    <w:qFormat/>
    <w:uiPriority w:val="0"/>
    <w:rPr>
      <w:rFonts w:hint="default" w:ascii="华文仿宋" w:hAnsi="华文仿宋" w:eastAsia="华文仿宋" w:cs="华文仿宋"/>
      <w:color w:val="000000"/>
      <w:sz w:val="30"/>
      <w:szCs w:val="30"/>
      <w:u w:val="single"/>
    </w:rPr>
  </w:style>
  <w:style w:type="character" w:customStyle="1" w:styleId="21">
    <w:name w:val="font41"/>
    <w:basedOn w:val="15"/>
    <w:qFormat/>
    <w:uiPriority w:val="0"/>
    <w:rPr>
      <w:rFonts w:hint="default" w:ascii="华文仿宋" w:hAnsi="华文仿宋" w:eastAsia="华文仿宋" w:cs="华文仿宋"/>
      <w:color w:val="000000"/>
      <w:sz w:val="30"/>
      <w:szCs w:val="30"/>
      <w:u w:val="none"/>
    </w:rPr>
  </w:style>
  <w:style w:type="character" w:customStyle="1" w:styleId="22">
    <w:name w:val="font51"/>
    <w:basedOn w:val="15"/>
    <w:qFormat/>
    <w:uiPriority w:val="0"/>
    <w:rPr>
      <w:rFonts w:hint="default" w:ascii="华文仿宋" w:hAnsi="华文仿宋" w:eastAsia="华文仿宋" w:cs="华文仿宋"/>
      <w:color w:val="000000"/>
      <w:sz w:val="22"/>
      <w:szCs w:val="22"/>
      <w:u w:val="none"/>
    </w:rPr>
  </w:style>
  <w:style w:type="paragraph" w:customStyle="1" w:styleId="23">
    <w:name w:val="正文正"/>
    <w:basedOn w:val="1"/>
    <w:qFormat/>
    <w:uiPriority w:val="0"/>
    <w:pPr>
      <w:spacing w:line="560" w:lineRule="exact"/>
      <w:ind w:firstLine="561"/>
    </w:pPr>
    <w:rPr>
      <w:rFonts w:ascii="Calibri" w:hAnsi="Calibri"/>
      <w:sz w:val="28"/>
      <w:szCs w:val="28"/>
    </w:rPr>
  </w:style>
  <w:style w:type="paragraph" w:customStyle="1" w:styleId="24">
    <w:name w:val="_Style 3"/>
    <w:basedOn w:val="1"/>
    <w:qFormat/>
    <w:uiPriority w:val="0"/>
    <w:pPr>
      <w:ind w:firstLine="420" w:firstLineChars="200"/>
    </w:pPr>
    <w:rPr>
      <w:sz w:val="20"/>
    </w:rPr>
  </w:style>
  <w:style w:type="character" w:customStyle="1" w:styleId="25">
    <w:name w:val="font11"/>
    <w:basedOn w:val="15"/>
    <w:qFormat/>
    <w:uiPriority w:val="0"/>
    <w:rPr>
      <w:rFonts w:hint="eastAsia" w:ascii="宋体" w:hAnsi="宋体" w:eastAsia="宋体" w:cs="宋体"/>
      <w:b/>
      <w:bCs/>
      <w:color w:val="000000"/>
      <w:sz w:val="24"/>
      <w:szCs w:val="24"/>
      <w:u w:val="none"/>
    </w:rPr>
  </w:style>
  <w:style w:type="character" w:customStyle="1" w:styleId="26">
    <w:name w:val="批注文字 Char"/>
    <w:basedOn w:val="15"/>
    <w:link w:val="4"/>
    <w:qFormat/>
    <w:uiPriority w:val="0"/>
    <w:rPr>
      <w:rFonts w:asciiTheme="minorHAnsi" w:hAnsiTheme="minorHAnsi" w:eastAsiaTheme="minorEastAsia" w:cstheme="minorBidi"/>
      <w:kern w:val="2"/>
      <w:sz w:val="21"/>
      <w:szCs w:val="24"/>
    </w:rPr>
  </w:style>
  <w:style w:type="character" w:customStyle="1" w:styleId="27">
    <w:name w:val="批注主题 Char"/>
    <w:basedOn w:val="26"/>
    <w:link w:val="11"/>
    <w:qFormat/>
    <w:uiPriority w:val="0"/>
    <w:rPr>
      <w:rFonts w:asciiTheme="minorHAnsi" w:hAnsiTheme="minorHAnsi" w:eastAsiaTheme="minorEastAsia" w:cstheme="minorBidi"/>
      <w:b/>
      <w:bCs/>
      <w:kern w:val="2"/>
      <w:sz w:val="21"/>
      <w:szCs w:val="24"/>
    </w:rPr>
  </w:style>
  <w:style w:type="character" w:customStyle="1" w:styleId="28">
    <w:name w:val="font21"/>
    <w:basedOn w:val="15"/>
    <w:qFormat/>
    <w:uiPriority w:val="0"/>
    <w:rPr>
      <w:rFonts w:hint="default" w:ascii="Times New Roman" w:hAnsi="Times New Roman" w:cs="Times New Roman"/>
      <w:color w:val="000000"/>
      <w:sz w:val="24"/>
      <w:szCs w:val="24"/>
      <w:u w:val="none"/>
    </w:rPr>
  </w:style>
  <w:style w:type="paragraph" w:customStyle="1" w:styleId="29">
    <w:name w:val="Default"/>
    <w:unhideWhenUsed/>
    <w:qFormat/>
    <w:uiPriority w:val="99"/>
    <w:pPr>
      <w:widowControl w:val="0"/>
      <w:autoSpaceDE w:val="0"/>
      <w:autoSpaceDN w:val="0"/>
      <w:adjustRightInd w:val="0"/>
    </w:pPr>
    <w:rPr>
      <w:rFonts w:hint="eastAsia" w:ascii="微软雅黑" w:hAnsi="微软雅黑" w:eastAsia="微软雅黑" w:cs="Times New Roman"/>
      <w:color w:val="000000"/>
      <w:sz w:val="24"/>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19</Pages>
  <Words>497</Words>
  <Characters>503</Characters>
  <Lines>97</Lines>
  <Paragraphs>27</Paragraphs>
  <TotalTime>0</TotalTime>
  <ScaleCrop>false</ScaleCrop>
  <LinksUpToDate>false</LinksUpToDate>
  <CharactersWithSpaces>538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2026-08-16T12:14:00Z</dcterms:created>
  <dc:creator>梁凤娟</dc:creator>
  <cp:lastModifiedBy>1i.</cp:lastModifiedBy>
  <dcterms:modified xsi:type="dcterms:W3CDTF">2026-08-19T01:59:28Z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62CA51446ACA448B8413080310A8C570_13</vt:lpwstr>
  </property>
  <property fmtid="{D5CDD505-2E9C-101B-9397-08002B2CF9AE}" pid="4" name="KSOTemplateDocerSaveRecord">
    <vt:lpwstr>eyJoZGlkIjoiNGNiNWI4ZDEzMDU0Y2VjZWYzNjRmZmI1MjViZjQzZWYiLCJ1c2VySWQiOiI3MTE4Njk5ODAifQ==</vt:lpwstr>
  </property>
</Properties>
</file>